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51EA0">
      <w:pPr>
        <w:pStyle w:val="197"/>
        <w:widowControl/>
        <w:tabs>
          <w:tab w:val="clear" w:pos="5954"/>
        </w:tabs>
        <w:jc w:val="center"/>
        <w:rPr>
          <w:rFonts w:hint="default" w:ascii="Arial" w:hAnsi="Arial" w:cs="Arial"/>
          <w:b/>
          <w:sz w:val="24"/>
          <w:szCs w:val="24"/>
          <w:lang w:val="pt-BR"/>
        </w:rPr>
      </w:pPr>
      <w:r>
        <w:rPr>
          <w:rFonts w:ascii="Arial" w:hAnsi="Arial" w:cs="Arial"/>
          <w:b/>
          <w:sz w:val="24"/>
          <w:szCs w:val="24"/>
        </w:rPr>
        <w:t>SÍNTESE INFORMATIVA DO EDITAL</w:t>
      </w:r>
    </w:p>
    <w:p w14:paraId="4C7B4D7A">
      <w:pPr>
        <w:pStyle w:val="197"/>
        <w:widowControl/>
        <w:tabs>
          <w:tab w:val="clear" w:pos="5954"/>
        </w:tabs>
        <w:jc w:val="center"/>
        <w:rPr>
          <w:rFonts w:ascii="Arial" w:hAnsi="Arial" w:cs="Arial"/>
          <w:b/>
          <w:sz w:val="24"/>
          <w:szCs w:val="24"/>
          <w:u w:val="single"/>
        </w:rPr>
      </w:pPr>
    </w:p>
    <w:tbl>
      <w:tblPr>
        <w:tblStyle w:val="4"/>
        <w:tblW w:w="9571" w:type="dxa"/>
        <w:jc w:val="center"/>
        <w:tblLayout w:type="autofit"/>
        <w:tblCellMar>
          <w:top w:w="0" w:type="dxa"/>
          <w:left w:w="70" w:type="dxa"/>
          <w:bottom w:w="0" w:type="dxa"/>
          <w:right w:w="70" w:type="dxa"/>
        </w:tblCellMar>
      </w:tblPr>
      <w:tblGrid>
        <w:gridCol w:w="3340"/>
        <w:gridCol w:w="6231"/>
      </w:tblGrid>
      <w:tr w14:paraId="4BB3A63F">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37F914DB">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056020EC">
            <w:pPr>
              <w:jc w:val="both"/>
              <w:rPr>
                <w:rFonts w:ascii="Arial" w:hAnsi="Arial" w:cs="Arial"/>
                <w:color w:val="000000"/>
              </w:rPr>
            </w:pPr>
            <w:r>
              <w:rPr>
                <w:rFonts w:ascii="Arial" w:hAnsi="Arial" w:cs="Arial"/>
                <w:color w:val="000000"/>
                <w:sz w:val="22"/>
                <w:szCs w:val="22"/>
              </w:rPr>
              <w:t>Prefeitura Municipal de Cataguases – UASG 984305</w:t>
            </w:r>
          </w:p>
        </w:tc>
      </w:tr>
      <w:tr w14:paraId="6320125F">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1E5536B7">
            <w:pPr>
              <w:jc w:val="center"/>
              <w:rPr>
                <w:rFonts w:ascii="Arial" w:hAnsi="Arial" w:cs="Arial"/>
                <w:b/>
                <w:bCs/>
                <w:color w:val="000000"/>
              </w:rPr>
            </w:pPr>
            <w:r>
              <w:rPr>
                <w:rFonts w:ascii="Arial" w:hAnsi="Arial" w:cs="Arial"/>
                <w:b/>
                <w:bCs/>
                <w:color w:val="000000"/>
              </w:rPr>
              <w:t xml:space="preserve">Processo </w:t>
            </w:r>
            <w:r>
              <w:rPr>
                <w:rFonts w:hint="default" w:ascii="Arial" w:hAnsi="Arial" w:cs="Arial"/>
                <w:b/>
                <w:bCs/>
                <w:color w:val="000000"/>
                <w:lang w:val="pt-BR"/>
              </w:rPr>
              <w:t>L</w:t>
            </w:r>
            <w:r>
              <w:rPr>
                <w:rFonts w:ascii="Arial" w:hAnsi="Arial" w:cs="Arial"/>
                <w:b/>
                <w:bCs/>
                <w:color w:val="000000"/>
              </w:rPr>
              <w:t>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2620AC2E">
            <w:pPr>
              <w:jc w:val="both"/>
              <w:rPr>
                <w:rFonts w:hint="default" w:ascii="Arial" w:hAnsi="Arial" w:cs="Arial"/>
                <w:color w:val="000000"/>
                <w:lang w:val="pt-BR"/>
              </w:rPr>
            </w:pPr>
            <w:r>
              <w:rPr>
                <w:rFonts w:hint="default" w:ascii="Arial" w:hAnsi="Arial" w:cs="Arial"/>
                <w:color w:val="000000"/>
                <w:sz w:val="22"/>
                <w:szCs w:val="22"/>
                <w:lang w:val="pt-BR"/>
              </w:rPr>
              <w:t>010/2026</w:t>
            </w:r>
          </w:p>
        </w:tc>
      </w:tr>
      <w:tr w14:paraId="75C73B58">
        <w:tblPrEx>
          <w:tblCellMar>
            <w:top w:w="0" w:type="dxa"/>
            <w:left w:w="70" w:type="dxa"/>
            <w:bottom w:w="0" w:type="dxa"/>
            <w:right w:w="70" w:type="dxa"/>
          </w:tblCellMar>
        </w:tblPrEx>
        <w:trPr>
          <w:trHeight w:val="40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23ED639">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84E4E">
            <w:pPr>
              <w:rPr>
                <w:rFonts w:hint="default" w:ascii="Arial" w:hAnsi="Arial" w:cs="Arial"/>
                <w:b/>
                <w:bCs/>
                <w:color w:val="000000"/>
                <w:lang w:val="pt-BR"/>
              </w:rPr>
            </w:pPr>
            <w:r>
              <w:rPr>
                <w:rFonts w:ascii="Arial" w:hAnsi="Arial" w:cs="Arial"/>
                <w:color w:val="000000"/>
                <w:sz w:val="22"/>
                <w:szCs w:val="22"/>
                <w:lang w:val="pt-BR"/>
              </w:rPr>
              <w:t>004/2026</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90004</w:t>
            </w:r>
          </w:p>
        </w:tc>
      </w:tr>
      <w:tr w14:paraId="63903046">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D259ADF">
            <w:pPr>
              <w:jc w:val="center"/>
              <w:rPr>
                <w:rFonts w:ascii="Arial" w:hAnsi="Arial" w:cs="Arial"/>
                <w:b/>
                <w:bCs/>
                <w:color w:val="000000"/>
              </w:rPr>
            </w:pPr>
            <w:r>
              <w:rPr>
                <w:rFonts w:ascii="Arial" w:hAnsi="Arial" w:cs="Arial"/>
                <w:b/>
                <w:bCs/>
                <w:color w:val="000000"/>
              </w:rPr>
              <w:t>SRP Registro de Preços n°</w:t>
            </w:r>
          </w:p>
        </w:tc>
        <w:tc>
          <w:tcPr>
            <w:tcW w:w="6231" w:type="dxa"/>
            <w:tcBorders>
              <w:top w:val="nil"/>
              <w:left w:val="nil"/>
              <w:bottom w:val="single" w:color="auto" w:sz="4" w:space="0"/>
              <w:right w:val="single" w:color="auto" w:sz="8" w:space="0"/>
            </w:tcBorders>
            <w:shd w:val="clear" w:color="auto" w:fill="auto"/>
            <w:vAlign w:val="center"/>
          </w:tcPr>
          <w:p w14:paraId="2A3A1C42">
            <w:pPr>
              <w:jc w:val="both"/>
              <w:rPr>
                <w:rFonts w:hint="default" w:ascii="Arial" w:hAnsi="Arial" w:cs="Arial"/>
                <w:b/>
                <w:bCs/>
                <w:color w:val="000000"/>
                <w:lang w:val="pt-BR"/>
              </w:rPr>
            </w:pPr>
            <w:r>
              <w:rPr>
                <w:rFonts w:hint="default" w:ascii="Arial" w:hAnsi="Arial" w:cs="Arial"/>
                <w:color w:val="000000"/>
                <w:sz w:val="22"/>
                <w:szCs w:val="22"/>
                <w:lang w:val="pt-BR"/>
              </w:rPr>
              <w:t>004/2026</w:t>
            </w:r>
          </w:p>
        </w:tc>
      </w:tr>
      <w:tr w14:paraId="739A8BF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A13D7B5">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244578B2">
            <w:pPr>
              <w:rPr>
                <w:rFonts w:hint="default" w:ascii="Arial" w:hAnsi="Arial" w:cs="Arial"/>
                <w:color w:val="000000"/>
                <w:lang w:val="pt-BR"/>
              </w:rPr>
            </w:pPr>
            <w:r>
              <w:rPr>
                <w:rFonts w:hint="default" w:ascii="Arial" w:hAnsi="Arial" w:cs="Arial"/>
                <w:color w:val="000000"/>
                <w:sz w:val="22"/>
                <w:szCs w:val="22"/>
                <w:lang w:val="pt-BR"/>
              </w:rPr>
              <w:t>Menor preço por item</w:t>
            </w:r>
          </w:p>
        </w:tc>
      </w:tr>
      <w:tr w14:paraId="03FBB6D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C5BF41B">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12F200D2">
            <w:pPr>
              <w:jc w:val="both"/>
              <w:rPr>
                <w:rFonts w:ascii="Arial" w:hAnsi="Arial" w:cs="Arial"/>
                <w:b/>
                <w:bCs/>
                <w:color w:val="000000"/>
              </w:rPr>
            </w:pPr>
            <w:r>
              <w:rPr>
                <w:rFonts w:hint="default" w:ascii="Arial" w:hAnsi="Arial" w:cs="Arial"/>
                <w:b/>
                <w:bCs/>
                <w:color w:val="000000"/>
                <w:sz w:val="22"/>
                <w:szCs w:val="22"/>
                <w:lang w:val="pt-BR"/>
              </w:rPr>
              <w:t>03/03/2026</w:t>
            </w:r>
            <w:r>
              <w:rPr>
                <w:rFonts w:ascii="Arial" w:hAnsi="Arial" w:cs="Arial"/>
                <w:b/>
                <w:bCs/>
                <w:color w:val="000000"/>
                <w:sz w:val="22"/>
                <w:szCs w:val="22"/>
              </w:rPr>
              <w:t xml:space="preserve">. Início: 09h (nove horas)                   </w:t>
            </w:r>
          </w:p>
          <w:p w14:paraId="3C951FB6">
            <w:pPr>
              <w:jc w:val="both"/>
              <w:rPr>
                <w:rFonts w:hint="default" w:ascii="Arial" w:hAnsi="Arial" w:cs="Arial"/>
                <w:b/>
                <w:bCs/>
                <w:color w:val="000000"/>
                <w:lang w:val="pt-BR"/>
              </w:rPr>
            </w:pPr>
            <w:r>
              <w:rPr>
                <w:rFonts w:ascii="Arial" w:hAnsi="Arial" w:cs="Arial"/>
                <w:b/>
                <w:bCs/>
                <w:color w:val="000000"/>
                <w:sz w:val="22"/>
                <w:szCs w:val="22"/>
              </w:rPr>
              <w:t xml:space="preserve">Local: </w:t>
            </w:r>
            <w:r>
              <w:rPr>
                <w:rFonts w:ascii="Arial" w:hAnsi="Arial" w:cs="Arial"/>
                <w:sz w:val="22"/>
                <w:szCs w:val="22"/>
              </w:rPr>
              <w:fldChar w:fldCharType="begin"/>
            </w:r>
            <w:r>
              <w:rPr>
                <w:rFonts w:ascii="Arial" w:hAnsi="Arial" w:cs="Arial"/>
                <w:sz w:val="22"/>
                <w:szCs w:val="22"/>
              </w:rPr>
              <w:instrText xml:space="preserve"> HYPERLINK "http://www.comprasgovernamentais.gov.br" </w:instrText>
            </w:r>
            <w:r>
              <w:rPr>
                <w:rFonts w:ascii="Arial" w:hAnsi="Arial" w:cs="Arial"/>
                <w:sz w:val="22"/>
                <w:szCs w:val="22"/>
              </w:rPr>
              <w:fldChar w:fldCharType="separate"/>
            </w:r>
            <w:r>
              <w:rPr>
                <w:rStyle w:val="11"/>
                <w:rFonts w:ascii="Arial" w:hAnsi="Arial" w:cs="Arial"/>
                <w:sz w:val="22"/>
                <w:szCs w:val="22"/>
              </w:rPr>
              <w:t>www.comprasgovernamentais.gov.br</w:t>
            </w:r>
            <w:r>
              <w:rPr>
                <w:rFonts w:ascii="Arial" w:hAnsi="Arial" w:cs="Arial"/>
                <w:sz w:val="22"/>
                <w:szCs w:val="22"/>
              </w:rPr>
              <w:fldChar w:fldCharType="end"/>
            </w:r>
            <w:r>
              <w:rPr>
                <w:rFonts w:hint="default" w:ascii="Arial" w:hAnsi="Arial" w:cs="Arial"/>
                <w:sz w:val="22"/>
                <w:szCs w:val="22"/>
                <w:lang w:val="pt-BR"/>
              </w:rPr>
              <w:t xml:space="preserve">                                                                               </w:t>
            </w:r>
          </w:p>
        </w:tc>
      </w:tr>
      <w:tr w14:paraId="5E33A4A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C79575">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24595B11">
            <w:pPr>
              <w:jc w:val="both"/>
              <w:rPr>
                <w:rFonts w:ascii="Arial" w:hAnsi="Arial" w:cs="Arial"/>
                <w:b/>
              </w:rPr>
            </w:pPr>
            <w:r>
              <w:rPr>
                <w:rFonts w:ascii="Arial" w:hAnsi="Arial" w:cs="Arial"/>
                <w:sz w:val="22"/>
                <w:szCs w:val="22"/>
              </w:rPr>
              <w:t>www.comprasgovernamentais.gov.br</w:t>
            </w:r>
          </w:p>
        </w:tc>
      </w:tr>
      <w:tr w14:paraId="6B52B8DF">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8AFB8E">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1569899A">
            <w:pPr>
              <w:jc w:val="both"/>
              <w:rPr>
                <w:rFonts w:ascii="Arial" w:hAnsi="Arial" w:cs="Arial"/>
                <w:color w:val="000000"/>
              </w:rPr>
            </w:pPr>
          </w:p>
          <w:p w14:paraId="6077F068">
            <w:pPr>
              <w:jc w:val="both"/>
              <w:rPr>
                <w:rFonts w:ascii="Arial" w:hAnsi="Arial" w:cs="Arial"/>
                <w:color w:val="000000"/>
              </w:rPr>
            </w:pPr>
            <w:r>
              <w:rPr>
                <w:rFonts w:ascii="Arial" w:hAnsi="Arial" w:cs="Arial"/>
                <w:color w:val="000000"/>
              </w:rPr>
              <w:t xml:space="preserve">Registrar preços para futura e eventual contratação de empresa especializada </w:t>
            </w:r>
            <w:r>
              <w:rPr>
                <w:rFonts w:hint="default" w:ascii="Arial" w:hAnsi="Arial" w:cs="Arial"/>
                <w:color w:val="000000"/>
                <w:lang w:val="pt-BR"/>
              </w:rPr>
              <w:t xml:space="preserve">no fornecimento </w:t>
            </w:r>
            <w:r>
              <w:rPr>
                <w:rFonts w:hint="default" w:ascii="Arial" w:hAnsi="Arial"/>
                <w:color w:val="000000"/>
                <w:lang w:val="pt-BR"/>
              </w:rPr>
              <w:t>de materiais destinados a procedimentos médicos e hospitalares, a fim de atender às necessidades dos diversos setores da</w:t>
            </w:r>
            <w:r>
              <w:rPr>
                <w:rFonts w:hint="default" w:ascii="Arial" w:hAnsi="Arial" w:cs="Arial"/>
                <w:lang w:val="pt-BR"/>
              </w:rPr>
              <w:t xml:space="preserve"> Secretaria de Saúde </w:t>
            </w:r>
            <w:r>
              <w:rPr>
                <w:rFonts w:ascii="Arial" w:hAnsi="Arial" w:cs="Arial"/>
              </w:rPr>
              <w:t xml:space="preserve">da Prefeitura Municipal de </w:t>
            </w:r>
            <w:r>
              <w:rPr>
                <w:rFonts w:hint="default" w:ascii="Arial" w:hAnsi="Arial" w:cs="Arial"/>
                <w:lang w:val="pt-BR"/>
              </w:rPr>
              <w:t>Cataguases-MG</w:t>
            </w:r>
            <w:r>
              <w:rPr>
                <w:rFonts w:hint="default" w:ascii="Arial" w:hAnsi="Arial" w:cs="Arial"/>
                <w:color w:val="000000"/>
                <w:lang w:val="pt-BR"/>
              </w:rPr>
              <w:t>.</w:t>
            </w:r>
          </w:p>
          <w:p w14:paraId="1479E2F1">
            <w:pPr>
              <w:jc w:val="both"/>
              <w:rPr>
                <w:rFonts w:hint="default" w:ascii="Arial" w:hAnsi="Arial"/>
                <w:szCs w:val="24"/>
                <w:lang w:val="pt-BR"/>
              </w:rPr>
            </w:pPr>
          </w:p>
        </w:tc>
      </w:tr>
      <w:tr w14:paraId="13D7C855">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EB93E6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08973348">
            <w:pPr>
              <w:jc w:val="both"/>
              <w:rPr>
                <w:rFonts w:hint="default" w:ascii="Arial" w:hAnsi="Arial" w:cs="Arial"/>
                <w:b/>
                <w:bCs/>
                <w:color w:val="000000"/>
                <w:lang w:val="pt-BR"/>
              </w:rPr>
            </w:pPr>
            <w:r>
              <w:rPr>
                <w:rFonts w:hint="default" w:ascii="Arial" w:hAnsi="Arial"/>
                <w:b/>
                <w:bCs/>
                <w:color w:val="000000"/>
                <w:sz w:val="22"/>
                <w:szCs w:val="22"/>
                <w:lang w:val="pt-BR"/>
              </w:rPr>
              <w:t>R$ 228.930,20</w:t>
            </w:r>
          </w:p>
        </w:tc>
      </w:tr>
      <w:tr w14:paraId="5262F6F9">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1DC0B5A">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850AB0">
            <w:pPr>
              <w:jc w:val="both"/>
              <w:rPr>
                <w:rFonts w:hint="default" w:ascii="Arial" w:hAnsi="Arial" w:cs="Arial"/>
                <w:color w:val="000000"/>
                <w:lang w:val="pt-BR"/>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11"/>
                <w:rFonts w:ascii="Arial" w:hAnsi="Arial" w:eastAsia="Arial" w:cs="Arial"/>
                <w:sz w:val="22"/>
                <w:szCs w:val="22"/>
              </w:rPr>
              <w:t>www.cataguases.mg.gov.br</w:t>
            </w:r>
            <w:r>
              <w:rPr>
                <w:rStyle w:val="11"/>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11"/>
                <w:rFonts w:ascii="Arial" w:hAnsi="Arial" w:eastAsia="Arial" w:cs="Arial"/>
                <w:sz w:val="22"/>
                <w:szCs w:val="22"/>
              </w:rPr>
              <w:t>pregaocataguases@gmail.com</w:t>
            </w:r>
            <w:r>
              <w:rPr>
                <w:rStyle w:val="11"/>
                <w:rFonts w:ascii="Arial" w:hAnsi="Arial" w:eastAsia="Arial" w:cs="Arial"/>
                <w:sz w:val="22"/>
                <w:szCs w:val="22"/>
              </w:rPr>
              <w:fldChar w:fldCharType="end"/>
            </w:r>
            <w:r>
              <w:rPr>
                <w:rFonts w:ascii="Arial" w:hAnsi="Arial" w:cs="Arial"/>
                <w:color w:val="000000"/>
                <w:sz w:val="22"/>
                <w:szCs w:val="22"/>
              </w:rPr>
              <w:t>, telefones (32)</w:t>
            </w:r>
            <w:r>
              <w:rPr>
                <w:rFonts w:hint="default" w:ascii="Arial" w:hAnsi="Arial" w:cs="Arial"/>
                <w:color w:val="000000"/>
                <w:sz w:val="22"/>
                <w:szCs w:val="22"/>
                <w:lang w:val="pt-BR"/>
              </w:rPr>
              <w:t xml:space="preserve"> 3429 2500 - Ramais 149 ou 150</w:t>
            </w:r>
          </w:p>
        </w:tc>
      </w:tr>
      <w:tr w14:paraId="34F8C077">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AAEE4E0">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35752D4D">
            <w:pPr>
              <w:rPr>
                <w:rFonts w:ascii="Arial" w:hAnsi="Arial" w:cs="Arial"/>
                <w:color w:val="000000"/>
              </w:rPr>
            </w:pPr>
            <w:r>
              <w:rPr>
                <w:rFonts w:ascii="Arial" w:hAnsi="Arial" w:cs="Arial"/>
                <w:color w:val="000000"/>
                <w:sz w:val="22"/>
                <w:szCs w:val="22"/>
              </w:rPr>
              <w:t>Horário de Brasília</w:t>
            </w:r>
          </w:p>
        </w:tc>
      </w:tr>
      <w:tr w14:paraId="003E1C0F">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4585886B">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4EC5176">
            <w:pPr>
              <w:rPr>
                <w:rFonts w:ascii="Arial" w:hAnsi="Arial" w:cs="Arial"/>
                <w:color w:val="000000"/>
                <w:sz w:val="22"/>
                <w:szCs w:val="22"/>
              </w:rPr>
            </w:pPr>
            <w:r>
              <w:rPr>
                <w:rFonts w:ascii="Arial" w:hAnsi="Arial" w:cs="Arial"/>
                <w:color w:val="000000"/>
                <w:sz w:val="22"/>
                <w:szCs w:val="22"/>
              </w:rPr>
              <w:t>14.133 de 01 de abril de 2021</w:t>
            </w:r>
          </w:p>
        </w:tc>
      </w:tr>
    </w:tbl>
    <w:p w14:paraId="2927BA57">
      <w:pPr>
        <w:jc w:val="center"/>
        <w:rPr>
          <w:rFonts w:ascii="Arial" w:hAnsi="Arial" w:cs="Arial"/>
          <w:sz w:val="20"/>
        </w:rPr>
      </w:pPr>
    </w:p>
    <w:p w14:paraId="413CF24D">
      <w:pPr>
        <w:jc w:val="center"/>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7A21F4D4">
      <w:pPr>
        <w:jc w:val="center"/>
        <w:rPr>
          <w:rFonts w:ascii="Arial" w:hAnsi="Arial" w:cs="Arial"/>
          <w:sz w:val="20"/>
        </w:rPr>
      </w:pPr>
    </w:p>
    <w:p w14:paraId="72F79F0F">
      <w:pPr>
        <w:jc w:val="center"/>
        <w:rPr>
          <w:rFonts w:ascii="Arial" w:hAnsi="Arial" w:cs="Arial"/>
          <w:sz w:val="20"/>
        </w:rPr>
      </w:pPr>
    </w:p>
    <w:p w14:paraId="75990E21">
      <w:pPr>
        <w:jc w:val="center"/>
        <w:rPr>
          <w:rFonts w:ascii="Arial" w:hAnsi="Arial" w:cs="Arial"/>
          <w:sz w:val="20"/>
        </w:rPr>
      </w:pPr>
    </w:p>
    <w:p w14:paraId="36024B29">
      <w:pPr>
        <w:jc w:val="center"/>
        <w:rPr>
          <w:rFonts w:ascii="Arial" w:hAnsi="Arial" w:cs="Arial"/>
          <w:sz w:val="20"/>
        </w:rPr>
      </w:pPr>
    </w:p>
    <w:p w14:paraId="7806BE06">
      <w:pPr>
        <w:jc w:val="center"/>
        <w:rPr>
          <w:rFonts w:ascii="Arial" w:hAnsi="Arial" w:cs="Arial"/>
          <w:sz w:val="20"/>
        </w:rPr>
      </w:pPr>
    </w:p>
    <w:p w14:paraId="37B50CA2">
      <w:pPr>
        <w:jc w:val="center"/>
        <w:rPr>
          <w:rFonts w:ascii="Arial" w:hAnsi="Arial" w:cs="Arial"/>
          <w:sz w:val="20"/>
        </w:rPr>
      </w:pPr>
    </w:p>
    <w:p w14:paraId="29FE8409">
      <w:pPr>
        <w:jc w:val="center"/>
        <w:rPr>
          <w:rFonts w:ascii="Arial" w:hAnsi="Arial" w:cs="Arial"/>
          <w:sz w:val="20"/>
        </w:rPr>
      </w:pPr>
    </w:p>
    <w:p w14:paraId="40E104BE">
      <w:pPr>
        <w:jc w:val="center"/>
        <w:rPr>
          <w:rFonts w:ascii="Arial" w:hAnsi="Arial" w:cs="Arial"/>
          <w:sz w:val="20"/>
        </w:rPr>
      </w:pPr>
    </w:p>
    <w:p w14:paraId="750DEEA8">
      <w:pPr>
        <w:jc w:val="center"/>
        <w:rPr>
          <w:rFonts w:ascii="Arial" w:hAnsi="Arial" w:cs="Arial"/>
          <w:sz w:val="20"/>
        </w:rPr>
      </w:pPr>
    </w:p>
    <w:p w14:paraId="727E2C5A">
      <w:pPr>
        <w:jc w:val="center"/>
        <w:rPr>
          <w:rFonts w:ascii="Arial" w:hAnsi="Arial" w:cs="Arial"/>
          <w:sz w:val="20"/>
        </w:rPr>
      </w:pPr>
    </w:p>
    <w:p w14:paraId="4FC636BB">
      <w:pPr>
        <w:jc w:val="center"/>
        <w:rPr>
          <w:rFonts w:ascii="Arial" w:hAnsi="Arial" w:cs="Arial"/>
          <w:sz w:val="20"/>
        </w:rPr>
      </w:pPr>
    </w:p>
    <w:p w14:paraId="5C7DE68A">
      <w:pPr>
        <w:spacing w:line="360" w:lineRule="auto"/>
        <w:jc w:val="center"/>
        <w:rPr>
          <w:rFonts w:hint="default" w:ascii="Arial" w:hAnsi="Arial" w:cs="Arial"/>
          <w:b/>
          <w:bCs/>
          <w:sz w:val="20"/>
          <w:szCs w:val="20"/>
          <w:lang w:val="pt-BR"/>
        </w:rPr>
      </w:pPr>
      <w:r>
        <w:rPr>
          <w:rFonts w:ascii="Arial" w:hAnsi="Arial" w:cs="Arial"/>
          <w:b/>
          <w:bCs/>
          <w:sz w:val="20"/>
          <w:szCs w:val="20"/>
        </w:rPr>
        <w:t xml:space="preserve">EDITAL DE PREGÃO ELETRÔNICO Nº </w:t>
      </w:r>
      <w:r>
        <w:rPr>
          <w:rFonts w:ascii="Arial" w:hAnsi="Arial" w:cs="Arial"/>
          <w:b/>
          <w:bCs/>
          <w:sz w:val="20"/>
          <w:szCs w:val="20"/>
          <w:lang w:val="pt-BR"/>
        </w:rPr>
        <w:t>004/2026</w:t>
      </w:r>
    </w:p>
    <w:p w14:paraId="4E3BAA0E">
      <w:pPr>
        <w:spacing w:line="360" w:lineRule="auto"/>
        <w:jc w:val="center"/>
        <w:rPr>
          <w:rFonts w:ascii="Arial" w:hAnsi="Arial" w:cs="Arial"/>
          <w:b/>
          <w:bCs/>
          <w:sz w:val="20"/>
          <w:szCs w:val="20"/>
        </w:rPr>
      </w:pPr>
    </w:p>
    <w:p w14:paraId="71C6DA8B">
      <w:pPr>
        <w:spacing w:line="360" w:lineRule="auto"/>
        <w:rPr>
          <w:rFonts w:hint="default" w:ascii="Arial" w:hAnsi="Arial" w:cs="Arial"/>
          <w:b/>
          <w:sz w:val="20"/>
          <w:szCs w:val="20"/>
          <w:lang w:val="pt-BR"/>
        </w:rPr>
      </w:pPr>
      <w:r>
        <w:rPr>
          <w:rFonts w:ascii="Arial" w:hAnsi="Arial" w:cs="Arial"/>
          <w:b/>
          <w:bCs/>
          <w:sz w:val="20"/>
          <w:szCs w:val="20"/>
        </w:rPr>
        <w:t xml:space="preserve">Processo n°: </w:t>
      </w:r>
      <w:r>
        <w:rPr>
          <w:rFonts w:hint="default" w:ascii="Arial" w:hAnsi="Arial" w:cs="Arial"/>
          <w:b/>
          <w:bCs/>
          <w:sz w:val="20"/>
          <w:szCs w:val="20"/>
          <w:lang w:val="pt-BR"/>
        </w:rPr>
        <w:t>010/2026</w:t>
      </w:r>
    </w:p>
    <w:p w14:paraId="6410A2CA">
      <w:pPr>
        <w:spacing w:line="360" w:lineRule="auto"/>
        <w:rPr>
          <w:rFonts w:hint="default" w:ascii="Arial" w:hAnsi="Arial" w:cs="Arial"/>
          <w:b/>
          <w:color w:val="FF0000"/>
          <w:sz w:val="20"/>
          <w:szCs w:val="20"/>
          <w:lang w:val="pt-BR"/>
        </w:rPr>
      </w:pPr>
      <w:r>
        <w:rPr>
          <w:rFonts w:ascii="Arial" w:hAnsi="Arial" w:cs="Arial"/>
          <w:b/>
          <w:bCs/>
          <w:color w:val="FF0000"/>
          <w:sz w:val="20"/>
          <w:szCs w:val="20"/>
        </w:rPr>
        <w:t xml:space="preserve">Data de Abertura para lances: </w:t>
      </w:r>
      <w:r>
        <w:rPr>
          <w:rFonts w:hint="default" w:ascii="Arial" w:hAnsi="Arial" w:cs="Arial"/>
          <w:b/>
          <w:bCs/>
          <w:color w:val="FF0000"/>
          <w:sz w:val="20"/>
          <w:szCs w:val="20"/>
          <w:lang w:val="pt-BR"/>
        </w:rPr>
        <w:t>03/03/2026</w:t>
      </w:r>
    </w:p>
    <w:p w14:paraId="1E1D798B">
      <w:pPr>
        <w:spacing w:line="360" w:lineRule="auto"/>
        <w:rPr>
          <w:rFonts w:ascii="Arial" w:hAnsi="Arial" w:cs="Arial"/>
          <w:b/>
          <w:sz w:val="20"/>
          <w:szCs w:val="20"/>
        </w:rPr>
      </w:pPr>
      <w:r>
        <w:rPr>
          <w:rFonts w:ascii="Arial" w:hAnsi="Arial" w:cs="Arial"/>
          <w:b/>
          <w:bCs/>
          <w:sz w:val="20"/>
          <w:szCs w:val="20"/>
        </w:rPr>
        <w:t>Horário: 09 (nove) horas</w:t>
      </w:r>
    </w:p>
    <w:p w14:paraId="6347EA1A">
      <w:pPr>
        <w:spacing w:line="360" w:lineRule="auto"/>
        <w:rPr>
          <w:rStyle w:val="267"/>
          <w:rFonts w:ascii="Arial" w:hAnsi="Arial" w:cs="Arial"/>
          <w:b/>
          <w:color w:val="auto"/>
          <w:sz w:val="20"/>
          <w:szCs w:val="20"/>
        </w:rPr>
      </w:pPr>
      <w:r>
        <w:rPr>
          <w:rFonts w:ascii="Arial" w:hAnsi="Arial" w:cs="Arial"/>
          <w:b/>
          <w:sz w:val="20"/>
          <w:szCs w:val="20"/>
        </w:rPr>
        <w:t xml:space="preserve">Local: </w:t>
      </w:r>
      <w:r>
        <w:fldChar w:fldCharType="begin"/>
      </w:r>
      <w:r>
        <w:instrText xml:space="preserve"> HYPERLINK "http://www.comprasnet.gov.br/" \o "http://www.comprasnet.gov.br/" </w:instrText>
      </w:r>
      <w:r>
        <w:fldChar w:fldCharType="separate"/>
      </w:r>
      <w:r>
        <w:rPr>
          <w:rStyle w:val="267"/>
          <w:rFonts w:ascii="Arial" w:hAnsi="Arial" w:cs="Arial"/>
          <w:b/>
          <w:color w:val="auto"/>
          <w:sz w:val="20"/>
          <w:szCs w:val="20"/>
        </w:rPr>
        <w:t>www.comprasgovernamentais.gov.br</w:t>
      </w:r>
      <w:r>
        <w:rPr>
          <w:rStyle w:val="267"/>
          <w:rFonts w:ascii="Arial" w:hAnsi="Arial" w:cs="Arial"/>
          <w:b/>
          <w:color w:val="auto"/>
          <w:sz w:val="20"/>
          <w:szCs w:val="20"/>
        </w:rPr>
        <w:fldChar w:fldCharType="end"/>
      </w:r>
    </w:p>
    <w:p w14:paraId="7C116D94">
      <w:pPr>
        <w:rPr>
          <w:rStyle w:val="267"/>
          <w:rFonts w:ascii="Arial" w:hAnsi="Arial" w:cs="Arial"/>
          <w:b/>
          <w:color w:val="auto"/>
          <w:sz w:val="20"/>
          <w:szCs w:val="20"/>
        </w:rPr>
      </w:pPr>
    </w:p>
    <w:p w14:paraId="075834C5">
      <w:pPr>
        <w:spacing w:line="360" w:lineRule="auto"/>
        <w:ind w:firstLine="708"/>
        <w:jc w:val="both"/>
        <w:rPr>
          <w:rFonts w:hint="default" w:ascii="Arial" w:hAnsi="Arial" w:cs="Arial"/>
          <w:b w:val="0"/>
          <w:bCs w:val="0"/>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Pregoeiro o Sr. Neimar Garcia de Oliveira, Pregoeira Substituta a Sra. Janete Aparecida Garcia e Equipe de Apoio, designados pela portaria nº 625/2023,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010/2026</w:t>
      </w:r>
      <w:r>
        <w:rPr>
          <w:rFonts w:hint="default" w:ascii="Arial" w:hAnsi="Arial" w:cs="Arial"/>
          <w:sz w:val="18"/>
          <w:szCs w:val="18"/>
        </w:rPr>
        <w:t xml:space="preserve"> para Sistema de Registro de Preços n° </w:t>
      </w:r>
      <w:r>
        <w:rPr>
          <w:rFonts w:hint="default" w:ascii="Arial" w:hAnsi="Arial" w:cs="Arial"/>
          <w:sz w:val="18"/>
          <w:szCs w:val="18"/>
          <w:lang w:val="pt-BR"/>
        </w:rPr>
        <w:t>004/2026</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004/2026</w:t>
      </w:r>
      <w:r>
        <w:rPr>
          <w:rFonts w:hint="default" w:ascii="Arial" w:hAnsi="Arial" w:cs="Arial"/>
          <w:b/>
          <w:sz w:val="18"/>
          <w:szCs w:val="18"/>
        </w:rPr>
        <w:t xml:space="preserve">, </w:t>
      </w:r>
      <w:r>
        <w:rPr>
          <w:rFonts w:hint="default" w:ascii="Arial" w:hAnsi="Arial" w:cs="Arial"/>
          <w:b/>
          <w:sz w:val="18"/>
          <w:szCs w:val="18"/>
          <w:lang w:val="pt-BR"/>
        </w:rPr>
        <w:t>t</w:t>
      </w:r>
      <w:r>
        <w:rPr>
          <w:rFonts w:hint="default" w:ascii="Arial" w:hAnsi="Arial" w:cs="Arial"/>
          <w:b/>
          <w:sz w:val="18"/>
          <w:szCs w:val="18"/>
        </w:rPr>
        <w:t xml:space="preserve">ipo </w:t>
      </w:r>
      <w:r>
        <w:rPr>
          <w:rFonts w:hint="default" w:ascii="Arial" w:hAnsi="Arial" w:cs="Arial"/>
          <w:b/>
          <w:sz w:val="18"/>
          <w:szCs w:val="18"/>
          <w:lang w:val="pt-BR"/>
        </w:rPr>
        <w:t>menor preço por item</w:t>
      </w:r>
      <w:r>
        <w:rPr>
          <w:rFonts w:hint="default" w:ascii="Arial" w:hAnsi="Arial" w:cs="Arial"/>
          <w:b/>
          <w:bCs w:val="0"/>
          <w:sz w:val="18"/>
          <w:szCs w:val="18"/>
        </w:rPr>
        <w:t xml:space="preserve">, com objeto de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contratação de </w:t>
      </w:r>
      <w:r>
        <w:rPr>
          <w:rFonts w:hint="default" w:ascii="Arial" w:hAnsi="Arial"/>
          <w:b/>
          <w:bCs w:val="0"/>
          <w:sz w:val="18"/>
          <w:szCs w:val="18"/>
        </w:rPr>
        <w:t>empresa especializada no fornecimento de materiais destinados a procedimentos médicos e hospitalares, a fim de atender às necessidades dos diversos setores da Secretaria de Saúde da Prefeitura Municipal de Cataguases-MG</w:t>
      </w:r>
      <w:r>
        <w:rPr>
          <w:rFonts w:hint="default" w:ascii="Arial" w:hAnsi="Arial" w:cs="Arial"/>
          <w:b w:val="0"/>
          <w:bCs w:val="0"/>
          <w:color w:val="000000"/>
          <w:sz w:val="18"/>
          <w:szCs w:val="18"/>
        </w:rPr>
        <w:t>,</w:t>
      </w:r>
      <w:r>
        <w:rPr>
          <w:rFonts w:hint="default" w:ascii="Arial" w:hAnsi="Arial" w:cs="Arial"/>
          <w:b/>
          <w:bCs/>
          <w:color w:val="000000"/>
          <w:sz w:val="18"/>
          <w:szCs w:val="18"/>
        </w:rPr>
        <w:t xml:space="preserve"> </w:t>
      </w:r>
      <w:r>
        <w:rPr>
          <w:rFonts w:hint="default" w:ascii="Arial" w:hAnsi="Arial" w:cs="Arial"/>
          <w:b w:val="0"/>
          <w:bCs w:val="0"/>
          <w:sz w:val="18"/>
          <w:szCs w:val="18"/>
        </w:rPr>
        <w:t>nos</w:t>
      </w:r>
      <w:r>
        <w:rPr>
          <w:rFonts w:hint="default" w:ascii="Arial" w:hAnsi="Arial" w:cs="Arial"/>
          <w:sz w:val="18"/>
          <w:szCs w:val="18"/>
        </w:rPr>
        <w:t xml:space="preserve"> termos da Lei nº 14.133, de 1º de abril de 2021, Lei Municipal n° 4.946 de 2023, Decreto Municipal n° 5.805 de 2023</w:t>
      </w:r>
      <w:r>
        <w:rPr>
          <w:rFonts w:hint="default" w:ascii="Arial" w:hAnsi="Arial" w:cs="Arial"/>
          <w:b w:val="0"/>
          <w:bCs w:val="0"/>
          <w:sz w:val="18"/>
          <w:szCs w:val="18"/>
        </w:rPr>
        <w:t>, Lei 13.709 de 14 de agosto de 2018 (LGPD - Lei Geral de Proteção de Dados) e Lei 12.846 de 1º de agosto de 2013 (Lei Anticorrupção) e demais legislação aplicável e, ainda, de acordo com as condições estabelecidas neste presente Edital.</w:t>
      </w:r>
    </w:p>
    <w:p w14:paraId="1CDF63D6">
      <w:pPr>
        <w:jc w:val="both"/>
        <w:rPr>
          <w:rFonts w:hint="default" w:ascii="Arial" w:hAnsi="Arial" w:cs="Arial"/>
          <w:sz w:val="18"/>
          <w:szCs w:val="18"/>
        </w:rPr>
      </w:pPr>
    </w:p>
    <w:p w14:paraId="22A30E75">
      <w:pPr>
        <w:pStyle w:val="268"/>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29F62C8D">
      <w:pPr>
        <w:pStyle w:val="268"/>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 xml:space="preserve">a escolha da proposta mais vantajosa para </w:t>
      </w:r>
      <w:r>
        <w:rPr>
          <w:rFonts w:hint="default" w:ascii="Arial" w:hAnsi="Arial" w:cs="Arial"/>
          <w:b/>
          <w:bCs w:val="0"/>
          <w:sz w:val="18"/>
          <w:szCs w:val="18"/>
          <w:lang w:val="pt-BR"/>
        </w:rPr>
        <w:t xml:space="preserve">registrar </w:t>
      </w:r>
      <w:r>
        <w:rPr>
          <w:rFonts w:hint="default" w:ascii="Arial" w:hAnsi="Arial" w:cs="Arial"/>
          <w:b/>
          <w:bCs w:val="0"/>
          <w:color w:val="000000"/>
          <w:sz w:val="18"/>
          <w:szCs w:val="18"/>
        </w:rPr>
        <w:t xml:space="preserve">preços para futura e eventual contratação de </w:t>
      </w:r>
      <w:r>
        <w:rPr>
          <w:rFonts w:hint="default" w:ascii="Arial" w:hAnsi="Arial"/>
          <w:b/>
          <w:bCs w:val="0"/>
          <w:sz w:val="18"/>
          <w:szCs w:val="18"/>
        </w:rPr>
        <w:t>empresa especializada no fornecimento de materiais destinados a procedimentos médicos e hospitalares, a fim de atender às necessidades dos diversos setores da Secretaria de Saúde da Prefeitura Municipal de Cataguases-MG</w:t>
      </w:r>
      <w:r>
        <w:rPr>
          <w:rFonts w:hint="default" w:ascii="Arial" w:hAnsi="Arial" w:cs="Arial"/>
          <w:b w:val="0"/>
          <w:bCs/>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08B2FDB0">
      <w:pPr>
        <w:pStyle w:val="223"/>
        <w:spacing w:line="360" w:lineRule="auto"/>
        <w:jc w:val="both"/>
        <w:rPr>
          <w:rFonts w:hint="default" w:ascii="Arial" w:hAnsi="Arial" w:cs="Arial"/>
          <w:sz w:val="18"/>
          <w:szCs w:val="18"/>
        </w:rPr>
      </w:pPr>
      <w:r>
        <w:rPr>
          <w:rFonts w:hint="default" w:ascii="Arial" w:hAnsi="Arial" w:cs="Arial"/>
          <w:sz w:val="18"/>
          <w:szCs w:val="18"/>
        </w:rPr>
        <w:t xml:space="preserve">1.2. A licitação será </w:t>
      </w:r>
      <w:r>
        <w:rPr>
          <w:rFonts w:hint="default" w:ascii="Arial" w:hAnsi="Arial" w:cs="Arial"/>
          <w:sz w:val="18"/>
          <w:szCs w:val="18"/>
          <w:lang w:val="pt-BR"/>
        </w:rPr>
        <w:t>por item</w:t>
      </w:r>
      <w:r>
        <w:rPr>
          <w:rFonts w:hint="default" w:ascii="Arial" w:hAnsi="Arial" w:cs="Arial"/>
          <w:sz w:val="18"/>
          <w:szCs w:val="18"/>
        </w:rPr>
        <w:t>, conforme tabela constante do Termo de Referência, facultando-se ao licitante a participação em quantos itens forem de seu interesse, quando houver mais de um.</w:t>
      </w:r>
    </w:p>
    <w:p w14:paraId="48A83A6B">
      <w:pPr>
        <w:pStyle w:val="268"/>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w:t>
      </w:r>
      <w:r>
        <w:rPr>
          <w:rFonts w:hint="default" w:ascii="Arial" w:hAnsi="Arial" w:cs="Arial"/>
          <w:sz w:val="18"/>
          <w:szCs w:val="18"/>
          <w:lang w:val="pt-BR"/>
        </w:rPr>
        <w:t xml:space="preserve"> de menor preço por item</w:t>
      </w:r>
      <w:r>
        <w:rPr>
          <w:rFonts w:hint="default" w:ascii="Arial" w:hAnsi="Arial" w:cs="Arial"/>
          <w:sz w:val="18"/>
          <w:szCs w:val="18"/>
        </w:rPr>
        <w:t>, observadas as exigências contidas neste Edital e seus Anexos quanto às especificações do objeto.</w:t>
      </w:r>
    </w:p>
    <w:p w14:paraId="5A1737B7">
      <w:pPr>
        <w:pStyle w:val="269"/>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72E18FB7">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5A9EC4F0">
      <w:pPr>
        <w:jc w:val="both"/>
        <w:rPr>
          <w:rFonts w:hint="default" w:ascii="Arial" w:hAnsi="Arial" w:eastAsia="Arial" w:cs="Arial"/>
          <w:sz w:val="18"/>
          <w:szCs w:val="18"/>
        </w:rPr>
      </w:pPr>
    </w:p>
    <w:p w14:paraId="7769DCF0">
      <w:pPr>
        <w:pStyle w:val="14"/>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0B0D67A6">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FB041A7">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b w:val="0"/>
          <w:bCs w:val="0"/>
          <w:color w:val="000000" w:themeColor="text1"/>
          <w:sz w:val="18"/>
          <w:szCs w:val="18"/>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 xml:space="preserve">correrão à </w:t>
      </w:r>
      <w:r>
        <w:rPr>
          <w:rFonts w:hint="default" w:ascii="Arial" w:hAnsi="Arial" w:cs="Arial"/>
          <w:b w:val="0"/>
          <w:bCs w:val="0"/>
          <w:color w:val="000000" w:themeColor="text1"/>
          <w:sz w:val="18"/>
          <w:szCs w:val="18"/>
          <w14:textFill>
            <w14:solidFill>
              <w14:schemeClr w14:val="tx1"/>
            </w14:solidFill>
          </w14:textFill>
        </w:rPr>
        <w:t>co</w:t>
      </w:r>
      <w:r>
        <w:rPr>
          <w:rFonts w:hint="default" w:ascii="Arial" w:hAnsi="Arial" w:cs="Arial"/>
          <w:b w:val="0"/>
          <w:bCs w:val="0"/>
          <w:color w:val="000000" w:themeColor="text1"/>
          <w:sz w:val="18"/>
          <w:szCs w:val="18"/>
          <w14:textFill>
            <w14:solidFill>
              <w14:schemeClr w14:val="tx1"/>
            </w14:solidFill>
          </w14:textFill>
        </w:rPr>
        <w:t>nta da dotação orçamentária a ser definida por cada secretaria responsável:</w:t>
      </w:r>
    </w:p>
    <w:p w14:paraId="7F7E47DD">
      <w:pPr>
        <w:spacing w:line="360" w:lineRule="auto"/>
        <w:jc w:val="both"/>
        <w:rPr>
          <w:rFonts w:hint="default" w:ascii="Arial" w:hAnsi="Arial"/>
          <w:b w:val="0"/>
          <w:bCs w:val="0"/>
          <w:sz w:val="18"/>
          <w:szCs w:val="18"/>
          <w:lang w:eastAsia="ar-SA"/>
        </w:rPr>
      </w:pPr>
      <w:r>
        <w:rPr>
          <w:rFonts w:hint="default" w:ascii="Arial" w:hAnsi="Arial"/>
          <w:b w:val="0"/>
          <w:bCs w:val="0"/>
          <w:sz w:val="18"/>
          <w:szCs w:val="18"/>
          <w:lang w:eastAsia="ar-SA"/>
        </w:rPr>
        <w:t>A contratação será atendida pelo seguinte centro de custo:</w:t>
      </w:r>
    </w:p>
    <w:p w14:paraId="6182326A">
      <w:pPr>
        <w:spacing w:line="360" w:lineRule="auto"/>
        <w:jc w:val="both"/>
        <w:rPr>
          <w:rFonts w:hint="default" w:ascii="Arial" w:hAnsi="Arial"/>
          <w:b w:val="0"/>
          <w:bCs w:val="0"/>
          <w:sz w:val="18"/>
          <w:szCs w:val="18"/>
          <w:lang w:eastAsia="ar-SA"/>
        </w:rPr>
      </w:pPr>
      <w:r>
        <w:rPr>
          <w:rFonts w:hint="default" w:ascii="Arial" w:hAnsi="Arial"/>
          <w:b w:val="0"/>
          <w:bCs w:val="0"/>
          <w:sz w:val="18"/>
          <w:szCs w:val="18"/>
          <w:lang w:eastAsia="ar-SA"/>
        </w:rPr>
        <w:t>02009– Fundo Municipal de Saúde</w:t>
      </w:r>
    </w:p>
    <w:p w14:paraId="2DA6928A">
      <w:pPr>
        <w:spacing w:line="360" w:lineRule="auto"/>
        <w:jc w:val="both"/>
        <w:rPr>
          <w:rFonts w:hint="default" w:ascii="Arial" w:hAnsi="Arial"/>
          <w:b w:val="0"/>
          <w:bCs w:val="0"/>
          <w:sz w:val="18"/>
          <w:szCs w:val="18"/>
          <w:lang w:eastAsia="ar-SA"/>
        </w:rPr>
      </w:pPr>
      <w:r>
        <w:rPr>
          <w:rFonts w:hint="default" w:ascii="Arial" w:hAnsi="Arial"/>
          <w:b w:val="0"/>
          <w:bCs w:val="0"/>
          <w:sz w:val="18"/>
          <w:szCs w:val="18"/>
          <w:lang w:eastAsia="ar-SA"/>
        </w:rPr>
        <w:t>2.083 – Manutenção e Coordenação das Atividades da Atenção Básica</w:t>
      </w:r>
    </w:p>
    <w:p w14:paraId="0BD2EF0B">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da Atenção Primária à Saúde</w:t>
      </w:r>
    </w:p>
    <w:p w14:paraId="562B27F0">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da Saúde Bucal (Odontologia)</w:t>
      </w:r>
    </w:p>
    <w:p w14:paraId="226EA16E">
      <w:pPr>
        <w:spacing w:line="360" w:lineRule="auto"/>
        <w:jc w:val="both"/>
        <w:rPr>
          <w:rFonts w:hint="default" w:ascii="Arial" w:hAnsi="Arial"/>
          <w:b w:val="0"/>
          <w:bCs w:val="0"/>
          <w:sz w:val="18"/>
          <w:szCs w:val="18"/>
          <w:lang w:eastAsia="ar-SA"/>
        </w:rPr>
      </w:pPr>
      <w:r>
        <w:rPr>
          <w:rFonts w:hint="default" w:ascii="Arial" w:hAnsi="Arial"/>
          <w:b w:val="0"/>
          <w:bCs w:val="0"/>
          <w:sz w:val="18"/>
          <w:szCs w:val="18"/>
          <w:lang w:eastAsia="ar-SA"/>
        </w:rPr>
        <w:t>2.084 –Manutenção e Coordenação das Atividades da Média e Alta Complexidade Ambulatorial</w:t>
      </w:r>
    </w:p>
    <w:p w14:paraId="198BDA10">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Serviço de Atendimento Especializado</w:t>
      </w:r>
    </w:p>
    <w:p w14:paraId="720F8B41">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Serviço de Radiologia</w:t>
      </w:r>
    </w:p>
    <w:p w14:paraId="703CF83B">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Centro de Especialidades Odontológicas</w:t>
      </w:r>
    </w:p>
    <w:p w14:paraId="65201AEA">
      <w:pPr>
        <w:spacing w:line="360" w:lineRule="auto"/>
        <w:jc w:val="both"/>
        <w:rPr>
          <w:rFonts w:hint="default" w:ascii="Arial" w:hAnsi="Arial"/>
          <w:b w:val="0"/>
          <w:bCs w:val="0"/>
          <w:sz w:val="18"/>
          <w:szCs w:val="18"/>
          <w:lang w:eastAsia="ar-SA"/>
        </w:rPr>
      </w:pPr>
      <w:r>
        <w:rPr>
          <w:rFonts w:hint="default" w:ascii="Arial" w:hAnsi="Arial"/>
          <w:b w:val="0"/>
          <w:bCs w:val="0"/>
          <w:sz w:val="18"/>
          <w:szCs w:val="18"/>
          <w:lang w:eastAsia="ar-SA"/>
        </w:rPr>
        <w:t>2.085 – Manutenção e Coordenação das Atividades da Raps – Rede de Atenção Psicossocial</w:t>
      </w:r>
    </w:p>
    <w:p w14:paraId="096AD466">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CAPS I</w:t>
      </w:r>
    </w:p>
    <w:p w14:paraId="1D572BBA">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CAPS AD</w:t>
      </w:r>
    </w:p>
    <w:p w14:paraId="16FED355">
      <w:pPr>
        <w:numPr>
          <w:ilvl w:val="0"/>
          <w:numId w:val="0"/>
        </w:numPr>
        <w:spacing w:line="360" w:lineRule="auto"/>
        <w:ind w:leftChars="0"/>
        <w:jc w:val="both"/>
        <w:rPr>
          <w:rFonts w:hint="default" w:ascii="Arial" w:hAnsi="Arial"/>
          <w:b w:val="0"/>
          <w:bCs w:val="0"/>
          <w:sz w:val="18"/>
          <w:szCs w:val="18"/>
          <w:lang w:eastAsia="ar-SA"/>
        </w:rPr>
      </w:pPr>
    </w:p>
    <w:p w14:paraId="7C179EC2">
      <w:pPr>
        <w:spacing w:line="360" w:lineRule="auto"/>
        <w:jc w:val="both"/>
        <w:rPr>
          <w:rFonts w:hint="default" w:ascii="Arial" w:hAnsi="Arial" w:cs="Arial"/>
          <w:b/>
          <w:bCs/>
          <w:sz w:val="18"/>
          <w:szCs w:val="18"/>
          <w:lang w:eastAsia="ar-SA"/>
        </w:rPr>
      </w:pPr>
      <w:r>
        <w:rPr>
          <w:rFonts w:hint="default" w:ascii="Arial" w:hAnsi="Arial" w:cs="Arial"/>
          <w:b/>
          <w:bCs/>
          <w:sz w:val="18"/>
          <w:szCs w:val="18"/>
          <w:lang w:eastAsia="ar-SA"/>
        </w:rPr>
        <w:t>3. DA PARTICIPAÇÃO NA LICITAÇÃO</w:t>
      </w:r>
      <w:bookmarkStart w:id="0" w:name="_Hlk135302270"/>
    </w:p>
    <w:p w14:paraId="2EC75337">
      <w:pPr>
        <w:spacing w:line="360" w:lineRule="auto"/>
        <w:jc w:val="both"/>
        <w:rPr>
          <w:rFonts w:hint="default" w:ascii="Arial" w:hAnsi="Arial" w:cs="Arial"/>
          <w:b/>
          <w:sz w:val="18"/>
          <w:szCs w:val="18"/>
        </w:rPr>
      </w:pPr>
      <w:r>
        <w:rPr>
          <w:rFonts w:hint="default" w:ascii="Arial" w:hAnsi="Arial" w:cs="Arial"/>
          <w:sz w:val="18"/>
          <w:szCs w:val="18"/>
        </w:rPr>
        <w:t xml:space="preserve">3.1 </w:t>
      </w:r>
      <w:bookmarkEnd w:id="0"/>
      <w:r>
        <w:rPr>
          <w:rFonts w:hint="default" w:ascii="Arial" w:hAnsi="Arial" w:cs="Arial"/>
          <w:sz w:val="18"/>
          <w:szCs w:val="18"/>
        </w:rPr>
        <w:t>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4"/>
          <w:rFonts w:hint="default" w:ascii="Arial" w:hAnsi="Arial" w:eastAsia="Arial" w:cs="Arial"/>
          <w:sz w:val="18"/>
          <w:szCs w:val="18"/>
        </w:rPr>
        <w:t>www.gov.br/compras</w:t>
      </w:r>
      <w:r>
        <w:rPr>
          <w:rStyle w:val="324"/>
          <w:rFonts w:hint="default" w:ascii="Arial" w:hAnsi="Arial" w:eastAsia="Arial" w:cs="Arial"/>
          <w:sz w:val="18"/>
          <w:szCs w:val="18"/>
        </w:rPr>
        <w:fldChar w:fldCharType="end"/>
      </w:r>
      <w:r>
        <w:rPr>
          <w:rFonts w:hint="default" w:ascii="Arial" w:hAnsi="Arial" w:cs="Arial"/>
          <w:sz w:val="18"/>
          <w:szCs w:val="18"/>
        </w:rPr>
        <w:t>).</w:t>
      </w:r>
    </w:p>
    <w:p w14:paraId="3EE44B25">
      <w:pPr>
        <w:pStyle w:val="303"/>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39DEBA3A">
      <w:pPr>
        <w:pStyle w:val="303"/>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3F4C46">
      <w:pPr>
        <w:pStyle w:val="303"/>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8FE167">
      <w:pPr>
        <w:pStyle w:val="303"/>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0D277502">
      <w:pPr>
        <w:pStyle w:val="270"/>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4478136C">
      <w:pPr>
        <w:pStyle w:val="270"/>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47A2081D">
      <w:pPr>
        <w:spacing w:line="360" w:lineRule="auto"/>
        <w:jc w:val="both"/>
        <w:rPr>
          <w:rFonts w:ascii="Arial" w:hAnsi="Arial" w:cs="Arial"/>
          <w:b/>
          <w:sz w:val="18"/>
          <w:szCs w:val="18"/>
          <w:highlight w:val="none"/>
          <w:u w:val="single"/>
        </w:rPr>
      </w:pPr>
      <w:bookmarkStart w:id="2" w:name="_Ref113883338"/>
      <w:r>
        <w:rPr>
          <w:rFonts w:ascii="Arial" w:hAnsi="Arial" w:cs="Arial"/>
          <w:b/>
          <w:sz w:val="18"/>
          <w:szCs w:val="18"/>
          <w:highlight w:val="none"/>
          <w:u w:val="single"/>
        </w:rPr>
        <w:t xml:space="preserve">3.7 Para todos os </w:t>
      </w:r>
      <w:r>
        <w:rPr>
          <w:rFonts w:hint="default" w:ascii="Arial" w:hAnsi="Arial" w:cs="Arial"/>
          <w:b/>
          <w:sz w:val="18"/>
          <w:szCs w:val="18"/>
          <w:highlight w:val="none"/>
          <w:u w:val="single"/>
          <w:lang w:val="pt-BR"/>
        </w:rPr>
        <w:t xml:space="preserve">itens </w:t>
      </w:r>
      <w:r>
        <w:rPr>
          <w:rFonts w:ascii="Arial" w:hAnsi="Arial" w:cs="Arial"/>
          <w:b/>
          <w:sz w:val="18"/>
          <w:szCs w:val="18"/>
          <w:highlight w:val="none"/>
          <w:u w:val="single"/>
        </w:rPr>
        <w:t>a participação é exclusiva a Microempresas e Empresas de Pequeno Porte ou equiparadas, nos termos do art. 48 da Lei Complementar nº 123, de 14 de dezembro de 2006.</w:t>
      </w:r>
    </w:p>
    <w:p w14:paraId="6DAF304D">
      <w:pPr>
        <w:pStyle w:val="310"/>
        <w:numPr>
          <w:ilvl w:val="2"/>
          <w:numId w:val="0"/>
        </w:numPr>
        <w:spacing w:before="0" w:after="0" w:line="360" w:lineRule="auto"/>
        <w:ind w:leftChars="0"/>
        <w:rPr>
          <w:i w:val="0"/>
          <w:color w:val="auto"/>
          <w:sz w:val="18"/>
          <w:szCs w:val="18"/>
          <w:highlight w:val="none"/>
        </w:rPr>
      </w:pPr>
      <w:bookmarkStart w:id="3" w:name="_Ref117015508"/>
      <w:r>
        <w:rPr>
          <w:i w:val="0"/>
          <w:color w:val="auto"/>
          <w:sz w:val="18"/>
          <w:szCs w:val="18"/>
          <w:highlight w:val="none"/>
        </w:rPr>
        <w:t>3.7</w:t>
      </w:r>
      <w:r>
        <w:rPr>
          <w:rFonts w:hint="default"/>
          <w:i w:val="0"/>
          <w:color w:val="auto"/>
          <w:sz w:val="18"/>
          <w:szCs w:val="18"/>
          <w:highlight w:val="none"/>
          <w:lang w:val="pt-BR"/>
        </w:rPr>
        <w:t>.1</w:t>
      </w:r>
      <w:r>
        <w:rPr>
          <w:rFonts w:hint="default" w:cs="Arial"/>
          <w:b/>
          <w:sz w:val="18"/>
          <w:szCs w:val="18"/>
          <w:highlight w:val="none"/>
          <w:u w:val="single"/>
          <w:lang w:val="pt-BR"/>
        </w:rPr>
        <w:t xml:space="preserve"> </w:t>
      </w:r>
      <w:r>
        <w:rPr>
          <w:i w:val="0"/>
          <w:color w:val="auto"/>
          <w:sz w:val="18"/>
          <w:szCs w:val="18"/>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07EF4770">
      <w:pPr>
        <w:pStyle w:val="310"/>
        <w:numPr>
          <w:ilvl w:val="2"/>
          <w:numId w:val="0"/>
        </w:numPr>
        <w:spacing w:before="0" w:after="0" w:line="360" w:lineRule="auto"/>
        <w:ind w:leftChars="0"/>
        <w:rPr>
          <w:i w:val="0"/>
          <w:color w:val="auto"/>
          <w:sz w:val="18"/>
          <w:szCs w:val="18"/>
          <w:highlight w:val="none"/>
        </w:rPr>
      </w:pPr>
      <w:r>
        <w:rPr>
          <w:i w:val="0"/>
          <w:color w:val="auto"/>
          <w:sz w:val="18"/>
          <w:szCs w:val="18"/>
          <w:highlight w:val="none"/>
        </w:rPr>
        <w:t>3.7</w:t>
      </w:r>
      <w:r>
        <w:rPr>
          <w:rFonts w:hint="default"/>
          <w:i w:val="0"/>
          <w:color w:val="auto"/>
          <w:sz w:val="18"/>
          <w:szCs w:val="18"/>
          <w:highlight w:val="none"/>
          <w:lang w:val="pt-BR"/>
        </w:rPr>
        <w:t>.2</w:t>
      </w:r>
      <w:r>
        <w:rPr>
          <w:rFonts w:hint="default" w:cs="Arial"/>
          <w:b/>
          <w:sz w:val="18"/>
          <w:szCs w:val="18"/>
          <w:highlight w:val="none"/>
          <w:u w:val="single"/>
          <w:lang w:val="pt-BR"/>
        </w:rPr>
        <w:t xml:space="preserve"> </w:t>
      </w:r>
      <w:r>
        <w:rPr>
          <w:i w:val="0"/>
          <w:color w:val="auto"/>
          <w:sz w:val="18"/>
          <w:szCs w:val="18"/>
          <w:highlight w:val="none"/>
        </w:rPr>
        <w:t xml:space="preserve">Será concedido tratamento favorecido para as microempresas e empresas de pequeno porte, para as sociedades cooperativas </w:t>
      </w:r>
      <w:r>
        <w:rPr>
          <w:rFonts w:eastAsia="Times New Roman"/>
          <w:i w:val="0"/>
          <w:color w:val="auto"/>
          <w:sz w:val="18"/>
          <w:szCs w:val="18"/>
          <w:highlight w:val="none"/>
        </w:rPr>
        <w:t xml:space="preserve">mencionadas no </w:t>
      </w:r>
      <w:r>
        <w:rPr>
          <w:sz w:val="18"/>
          <w:szCs w:val="18"/>
          <w:highlight w:val="none"/>
        </w:rPr>
        <w:fldChar w:fldCharType="begin"/>
      </w:r>
      <w:r>
        <w:rPr>
          <w:sz w:val="18"/>
          <w:szCs w:val="18"/>
          <w:highlight w:val="none"/>
        </w:rPr>
        <w:instrText xml:space="preserve"> HYPERLINK "http://www.planalto.gov.br/ccivil_03/_ato2019-2022/2021/lei/L14133.htm" \l "art16" </w:instrText>
      </w:r>
      <w:r>
        <w:rPr>
          <w:sz w:val="18"/>
          <w:szCs w:val="18"/>
          <w:highlight w:val="none"/>
        </w:rPr>
        <w:fldChar w:fldCharType="separate"/>
      </w:r>
      <w:r>
        <w:rPr>
          <w:rStyle w:val="11"/>
          <w:rFonts w:eastAsia="Times New Roman" w:cs="Arial"/>
          <w:i w:val="0"/>
          <w:color w:val="auto"/>
          <w:sz w:val="18"/>
          <w:szCs w:val="18"/>
          <w:highlight w:val="none"/>
        </w:rPr>
        <w:t xml:space="preserve">artigo </w:t>
      </w:r>
      <w:r>
        <w:rPr>
          <w:rStyle w:val="11"/>
          <w:rFonts w:cs="Arial"/>
          <w:i w:val="0"/>
          <w:color w:val="auto"/>
          <w:sz w:val="18"/>
          <w:szCs w:val="18"/>
          <w:highlight w:val="none"/>
        </w:rPr>
        <w:t>16 da Lei nº 14.133, de 2021</w:t>
      </w:r>
      <w:r>
        <w:rPr>
          <w:rStyle w:val="11"/>
          <w:rFonts w:cs="Arial"/>
          <w:i w:val="0"/>
          <w:color w:val="auto"/>
          <w:sz w:val="18"/>
          <w:szCs w:val="18"/>
          <w:highlight w:val="none"/>
        </w:rPr>
        <w:fldChar w:fldCharType="end"/>
      </w:r>
      <w:r>
        <w:rPr>
          <w:i w:val="0"/>
          <w:color w:val="auto"/>
          <w:sz w:val="18"/>
          <w:szCs w:val="18"/>
          <w:highlight w:val="none"/>
        </w:rPr>
        <w:t xml:space="preserve">, para o agricultor familiar, o produtor rural pessoa física e para o microempreendedor individual - MEI, nos limites previstos da </w:t>
      </w:r>
      <w:r>
        <w:rPr>
          <w:sz w:val="18"/>
          <w:szCs w:val="18"/>
          <w:highlight w:val="none"/>
        </w:rPr>
        <w:fldChar w:fldCharType="begin"/>
      </w:r>
      <w:r>
        <w:rPr>
          <w:sz w:val="18"/>
          <w:szCs w:val="18"/>
          <w:highlight w:val="none"/>
        </w:rPr>
        <w:instrText xml:space="preserve"> HYPERLINK "https://www.planalto.gov.br/ccivil_03/leis/lcp/lcp123.htm" </w:instrText>
      </w:r>
      <w:r>
        <w:rPr>
          <w:sz w:val="18"/>
          <w:szCs w:val="18"/>
          <w:highlight w:val="none"/>
        </w:rPr>
        <w:fldChar w:fldCharType="separate"/>
      </w:r>
      <w:r>
        <w:rPr>
          <w:rStyle w:val="11"/>
          <w:rFonts w:cs="Arial"/>
          <w:i w:val="0"/>
          <w:color w:val="auto"/>
          <w:sz w:val="18"/>
          <w:szCs w:val="18"/>
          <w:highlight w:val="none"/>
        </w:rPr>
        <w:t>Lei Complementar nº 123, de 2006</w:t>
      </w:r>
      <w:r>
        <w:rPr>
          <w:rStyle w:val="11"/>
          <w:rFonts w:cs="Arial"/>
          <w:i w:val="0"/>
          <w:color w:val="auto"/>
          <w:sz w:val="18"/>
          <w:szCs w:val="18"/>
          <w:highlight w:val="none"/>
        </w:rPr>
        <w:fldChar w:fldCharType="end"/>
      </w:r>
      <w:r>
        <w:rPr>
          <w:i w:val="0"/>
          <w:color w:val="auto"/>
          <w:sz w:val="18"/>
          <w:szCs w:val="18"/>
          <w:highlight w:val="none"/>
        </w:rPr>
        <w:t xml:space="preserve"> e do Decreto n.º 8.538, de 2015.</w:t>
      </w:r>
    </w:p>
    <w:p w14:paraId="05761CC6">
      <w:pPr>
        <w:pStyle w:val="310"/>
        <w:numPr>
          <w:ilvl w:val="2"/>
          <w:numId w:val="0"/>
        </w:numPr>
        <w:spacing w:before="0" w:after="0" w:line="360" w:lineRule="auto"/>
        <w:ind w:leftChars="0"/>
        <w:rPr>
          <w:b/>
          <w:bCs/>
          <w:i w:val="0"/>
          <w:color w:val="auto"/>
          <w:sz w:val="18"/>
          <w:szCs w:val="18"/>
          <w:highlight w:val="none"/>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p>
    <w:p w14:paraId="146E4312">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4" w:name="_Ref114659912"/>
    </w:p>
    <w:p w14:paraId="1BE9A40D">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4"/>
      <w:bookmarkStart w:id="5" w:name="_Ref114659913"/>
      <w:bookmarkStart w:id="6" w:name="_Ref113883339"/>
    </w:p>
    <w:p w14:paraId="3B9FB938">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bookmarkEnd w:id="6"/>
      <w:bookmarkStart w:id="7" w:name="_Ref113883003"/>
    </w:p>
    <w:p w14:paraId="2D9A396B">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7"/>
    </w:p>
    <w:p w14:paraId="39CDDA55">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_Ref113883579"/>
    </w:p>
    <w:p w14:paraId="2948EEF7">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8"/>
    </w:p>
    <w:p w14:paraId="05D1169C">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9" w:name="_Ref113962336"/>
    </w:p>
    <w:p w14:paraId="4B2C578D">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9"/>
    </w:p>
    <w:p w14:paraId="7BBC2057">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7D19A1DA">
      <w:pPr>
        <w:pStyle w:val="310"/>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11"/>
          <w:rFonts w:hint="default" w:ascii="Arial" w:hAnsi="Arial" w:cs="Arial"/>
          <w:i w:val="0"/>
          <w:color w:val="auto"/>
          <w:sz w:val="18"/>
          <w:szCs w:val="18"/>
        </w:rPr>
        <w:t>§ 1º do art. 9º da Lei nº 14.133, de 2021</w:t>
      </w:r>
      <w:r>
        <w:rPr>
          <w:rStyle w:val="11"/>
          <w:rFonts w:hint="default" w:ascii="Arial" w:hAnsi="Arial" w:cs="Arial"/>
          <w:i w:val="0"/>
          <w:color w:val="auto"/>
          <w:sz w:val="18"/>
          <w:szCs w:val="18"/>
        </w:rPr>
        <w:fldChar w:fldCharType="end"/>
      </w:r>
      <w:r>
        <w:rPr>
          <w:rFonts w:hint="default" w:ascii="Arial" w:hAnsi="Arial" w:cs="Arial"/>
          <w:i w:val="0"/>
          <w:color w:val="auto"/>
          <w:sz w:val="18"/>
          <w:szCs w:val="18"/>
        </w:rPr>
        <w:t>.</w:t>
      </w:r>
    </w:p>
    <w:p w14:paraId="4C938990">
      <w:pPr>
        <w:pStyle w:val="303"/>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00BB2272">
      <w:pPr>
        <w:pStyle w:val="303"/>
        <w:spacing w:before="0" w:after="0" w:line="360" w:lineRule="auto"/>
        <w:rPr>
          <w:rFonts w:hint="default" w:ascii="Arial" w:hAnsi="Arial" w:cs="Arial"/>
          <w:sz w:val="18"/>
          <w:szCs w:val="18"/>
        </w:rPr>
      </w:pPr>
      <w:bookmarkStart w:id="10" w:name="art14§2"/>
      <w:bookmarkEnd w:id="10"/>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30046473">
      <w:pPr>
        <w:pStyle w:val="303"/>
        <w:spacing w:before="0" w:after="0" w:line="360" w:lineRule="auto"/>
        <w:rPr>
          <w:rFonts w:hint="default" w:ascii="Arial" w:hAnsi="Arial" w:cs="Arial"/>
          <w:sz w:val="18"/>
          <w:szCs w:val="18"/>
        </w:rPr>
      </w:pPr>
      <w:bookmarkStart w:id="11" w:name="art14§3"/>
      <w:bookmarkEnd w:id="11"/>
      <w:r>
        <w:rPr>
          <w:rFonts w:hint="default" w:ascii="Arial" w:hAnsi="Arial" w:cs="Arial"/>
          <w:sz w:val="18"/>
          <w:szCs w:val="18"/>
        </w:rPr>
        <w:t>3.11 Equiparam-se aos autores do projeto as empresas integrantes do mesmo grupo econômico.</w:t>
      </w:r>
    </w:p>
    <w:p w14:paraId="3FCB7608">
      <w:pPr>
        <w:pStyle w:val="303"/>
        <w:spacing w:before="0" w:after="0" w:line="360" w:lineRule="auto"/>
        <w:rPr>
          <w:rFonts w:hint="default" w:ascii="Arial" w:hAnsi="Arial" w:cs="Arial"/>
          <w:sz w:val="18"/>
          <w:szCs w:val="18"/>
        </w:rPr>
      </w:pPr>
      <w:bookmarkStart w:id="12" w:name="art14§4"/>
      <w:bookmarkEnd w:id="12"/>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4C7749">
      <w:pPr>
        <w:pStyle w:val="303"/>
        <w:spacing w:before="0" w:after="0" w:line="360" w:lineRule="auto"/>
        <w:rPr>
          <w:rFonts w:hint="default" w:ascii="Arial" w:hAnsi="Arial" w:cs="Arial"/>
          <w:sz w:val="18"/>
          <w:szCs w:val="18"/>
        </w:rPr>
      </w:pPr>
      <w:bookmarkStart w:id="13" w:name="art14§5"/>
      <w:bookmarkEnd w:id="13"/>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1"/>
          <w:rFonts w:hint="default" w:ascii="Arial" w:hAnsi="Arial" w:cs="Arial"/>
          <w:sz w:val="18"/>
          <w:szCs w:val="18"/>
        </w:rPr>
        <w:t>Lei nº 14.133/2021</w:t>
      </w:r>
      <w:r>
        <w:rPr>
          <w:rStyle w:val="11"/>
          <w:rFonts w:hint="default" w:ascii="Arial" w:hAnsi="Arial" w:cs="Arial"/>
          <w:sz w:val="18"/>
          <w:szCs w:val="18"/>
        </w:rPr>
        <w:fldChar w:fldCharType="end"/>
      </w:r>
      <w:r>
        <w:rPr>
          <w:rFonts w:hint="default" w:ascii="Arial" w:hAnsi="Arial" w:cs="Arial"/>
          <w:sz w:val="18"/>
          <w:szCs w:val="18"/>
        </w:rPr>
        <w:t>.</w:t>
      </w:r>
    </w:p>
    <w:p w14:paraId="154080B6">
      <w:pPr>
        <w:pStyle w:val="303"/>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7715AFED">
      <w:pPr>
        <w:pStyle w:val="303"/>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19C42C85">
      <w:pPr>
        <w:pStyle w:val="270"/>
        <w:rPr>
          <w:rFonts w:hint="default" w:ascii="Arial" w:hAnsi="Arial" w:cs="Arial"/>
          <w:sz w:val="18"/>
          <w:szCs w:val="18"/>
        </w:rPr>
      </w:pPr>
    </w:p>
    <w:p w14:paraId="277D730A">
      <w:pPr>
        <w:pStyle w:val="27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27D60F15">
      <w:pPr>
        <w:pStyle w:val="271"/>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4" w:name="_Ref113886867"/>
      <w:bookmarkEnd w:id="14"/>
    </w:p>
    <w:p w14:paraId="42045C8C">
      <w:pPr>
        <w:pStyle w:val="271"/>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5" w:name="_Ref113889589"/>
      <w:bookmarkEnd w:id="15"/>
    </w:p>
    <w:p w14:paraId="37AEB331">
      <w:pPr>
        <w:pStyle w:val="271"/>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item 8 e seus subitens.</w:t>
      </w:r>
    </w:p>
    <w:p w14:paraId="615BB431">
      <w:pPr>
        <w:pStyle w:val="271"/>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63FCA0E5">
      <w:pPr>
        <w:pStyle w:val="271"/>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779C135">
      <w:pPr>
        <w:pStyle w:val="271"/>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25"/>
          <w:rFonts w:hint="default" w:ascii="Arial" w:hAnsi="Arial" w:cs="Arial"/>
          <w:sz w:val="18"/>
          <w:szCs w:val="18"/>
        </w:rPr>
        <w:t>artigo 7°, XXXIII, da Constituição</w:t>
      </w:r>
      <w:r>
        <w:rPr>
          <w:rStyle w:val="325"/>
          <w:rFonts w:hint="default" w:ascii="Arial" w:hAnsi="Arial" w:cs="Arial"/>
          <w:sz w:val="18"/>
          <w:szCs w:val="18"/>
        </w:rPr>
        <w:fldChar w:fldCharType="end"/>
      </w:r>
      <w:r>
        <w:rPr>
          <w:rFonts w:hint="default" w:ascii="Arial" w:hAnsi="Arial" w:cs="Arial"/>
          <w:sz w:val="18"/>
          <w:szCs w:val="18"/>
        </w:rPr>
        <w:t>;</w:t>
      </w:r>
    </w:p>
    <w:p w14:paraId="23230533">
      <w:pPr>
        <w:pStyle w:val="271"/>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5"/>
          <w:rFonts w:hint="default" w:ascii="Arial" w:hAnsi="Arial" w:cs="Arial"/>
          <w:sz w:val="18"/>
          <w:szCs w:val="18"/>
        </w:rPr>
        <w:t>incisos III e IV do art. 1º e no inciso III do art. 5º da Constituição Federal</w:t>
      </w:r>
      <w:r>
        <w:rPr>
          <w:rStyle w:val="325"/>
          <w:rFonts w:hint="default" w:ascii="Arial" w:hAnsi="Arial" w:cs="Arial"/>
          <w:sz w:val="18"/>
          <w:szCs w:val="18"/>
        </w:rPr>
        <w:fldChar w:fldCharType="end"/>
      </w:r>
      <w:r>
        <w:rPr>
          <w:rFonts w:hint="default" w:ascii="Arial" w:hAnsi="Arial" w:cs="Arial"/>
          <w:sz w:val="18"/>
          <w:szCs w:val="18"/>
        </w:rPr>
        <w:t>;</w:t>
      </w:r>
    </w:p>
    <w:p w14:paraId="71609A20">
      <w:pPr>
        <w:pStyle w:val="271"/>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84EE48C">
      <w:pPr>
        <w:pStyle w:val="271"/>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25"/>
          <w:rFonts w:hint="default" w:ascii="Arial" w:hAnsi="Arial" w:cs="Arial"/>
          <w:sz w:val="18"/>
          <w:szCs w:val="18"/>
        </w:rPr>
        <w:t>artigo 16 da Lei nº 14.133, de 2021</w:t>
      </w:r>
      <w:r>
        <w:rPr>
          <w:rStyle w:val="325"/>
          <w:rFonts w:hint="default" w:ascii="Arial" w:hAnsi="Arial" w:cs="Arial"/>
          <w:sz w:val="18"/>
          <w:szCs w:val="18"/>
        </w:rPr>
        <w:fldChar w:fldCharType="end"/>
      </w:r>
      <w:r>
        <w:rPr>
          <w:rFonts w:hint="default" w:ascii="Arial" w:hAnsi="Arial" w:cs="Arial"/>
          <w:sz w:val="18"/>
          <w:szCs w:val="18"/>
        </w:rPr>
        <w:t>.</w:t>
      </w:r>
      <w:bookmarkStart w:id="16" w:name="_Ref117000019"/>
      <w:bookmarkEnd w:id="16"/>
    </w:p>
    <w:p w14:paraId="3BED02F5">
      <w:pPr>
        <w:pStyle w:val="271"/>
        <w:widowControl/>
        <w:numPr>
          <w:ilvl w:val="1"/>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25"/>
          <w:rFonts w:hint="default" w:ascii="Arial" w:hAnsi="Arial" w:cs="Arial"/>
          <w:sz w:val="18"/>
          <w:szCs w:val="18"/>
        </w:rPr>
        <w:t>artigo 3° da Lei Complementar nº 123, de 2006</w:t>
      </w:r>
      <w:r>
        <w:rPr>
          <w:rStyle w:val="325"/>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25"/>
          <w:rFonts w:hint="default" w:ascii="Arial" w:hAnsi="Arial" w:cs="Arial"/>
          <w:sz w:val="18"/>
          <w:szCs w:val="18"/>
        </w:rPr>
        <w:t>arts. 42 a 49</w:t>
      </w:r>
      <w:r>
        <w:rPr>
          <w:rStyle w:val="325"/>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25"/>
          <w:rFonts w:hint="default" w:ascii="Arial" w:hAnsi="Arial" w:cs="Arial"/>
          <w:sz w:val="18"/>
          <w:szCs w:val="18"/>
        </w:rPr>
        <w:t>§§ 1º ao 3º do art. 4º, da Lei n.º 14.133, de 2021.</w:t>
      </w:r>
      <w:r>
        <w:rPr>
          <w:rStyle w:val="325"/>
          <w:rFonts w:hint="default" w:ascii="Arial" w:hAnsi="Arial" w:cs="Arial"/>
          <w:sz w:val="18"/>
          <w:szCs w:val="18"/>
        </w:rPr>
        <w:fldChar w:fldCharType="end"/>
      </w:r>
    </w:p>
    <w:p w14:paraId="1F41931E">
      <w:pPr>
        <w:pStyle w:val="271"/>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7027F694">
      <w:pPr>
        <w:pStyle w:val="271"/>
        <w:widowControl/>
        <w:numPr>
          <w:ilvl w:val="2"/>
          <w:numId w:val="4"/>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25"/>
          <w:rFonts w:hint="default" w:ascii="Arial" w:hAnsi="Arial" w:cs="Arial"/>
          <w:sz w:val="18"/>
          <w:szCs w:val="18"/>
        </w:rPr>
        <w:t>Lei Complementar nº 123, de 2006</w:t>
      </w:r>
      <w:r>
        <w:rPr>
          <w:rStyle w:val="325"/>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BD7A909">
      <w:pPr>
        <w:pStyle w:val="303"/>
        <w:numPr>
          <w:ilvl w:val="1"/>
          <w:numId w:val="4"/>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falsidade da declaração de que trata os itens 4.4 ou 4.6 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25"/>
          <w:rFonts w:hint="default" w:ascii="Arial" w:hAnsi="Arial" w:cs="Arial"/>
          <w:sz w:val="18"/>
          <w:szCs w:val="18"/>
        </w:rPr>
        <w:t>Lei nº 14.133, de 2021</w:t>
      </w:r>
      <w:r>
        <w:rPr>
          <w:rStyle w:val="325"/>
          <w:rFonts w:hint="default" w:ascii="Arial" w:hAnsi="Arial" w:cs="Arial"/>
          <w:sz w:val="18"/>
          <w:szCs w:val="18"/>
        </w:rPr>
        <w:fldChar w:fldCharType="end"/>
      </w:r>
      <w:r>
        <w:rPr>
          <w:rFonts w:hint="default" w:ascii="Arial" w:hAnsi="Arial" w:cs="Arial"/>
          <w:sz w:val="18"/>
          <w:szCs w:val="18"/>
        </w:rPr>
        <w:t>, e neste Edital.</w:t>
      </w:r>
    </w:p>
    <w:p w14:paraId="57B2DE27">
      <w:pPr>
        <w:pStyle w:val="303"/>
        <w:numPr>
          <w:ilvl w:val="1"/>
          <w:numId w:val="4"/>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03053">
      <w:pPr>
        <w:pStyle w:val="303"/>
        <w:numPr>
          <w:ilvl w:val="1"/>
          <w:numId w:val="4"/>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53DB2E3">
      <w:pPr>
        <w:pStyle w:val="303"/>
        <w:numPr>
          <w:ilvl w:val="1"/>
          <w:numId w:val="4"/>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7" w:name="_Ref116992247"/>
      <w:bookmarkEnd w:id="17"/>
    </w:p>
    <w:p w14:paraId="3DECD061">
      <w:pPr>
        <w:pStyle w:val="303"/>
        <w:numPr>
          <w:ilvl w:val="1"/>
          <w:numId w:val="4"/>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0DB3FEED">
      <w:pPr>
        <w:pStyle w:val="303"/>
        <w:numPr>
          <w:ilvl w:val="2"/>
          <w:numId w:val="4"/>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0120F5B8">
      <w:pPr>
        <w:pStyle w:val="304"/>
        <w:numPr>
          <w:ilvl w:val="2"/>
          <w:numId w:val="4"/>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0D7CEF21">
      <w:pPr>
        <w:pStyle w:val="303"/>
        <w:numPr>
          <w:ilvl w:val="1"/>
          <w:numId w:val="4"/>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4661D0E7">
      <w:pPr>
        <w:pStyle w:val="304"/>
        <w:numPr>
          <w:ilvl w:val="2"/>
          <w:numId w:val="4"/>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342A4F49">
      <w:pPr>
        <w:pStyle w:val="304"/>
        <w:numPr>
          <w:ilvl w:val="2"/>
          <w:numId w:val="4"/>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5494309D">
      <w:pPr>
        <w:pStyle w:val="303"/>
        <w:numPr>
          <w:ilvl w:val="1"/>
          <w:numId w:val="4"/>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4B15DF3A">
      <w:pPr>
        <w:pStyle w:val="303"/>
        <w:numPr>
          <w:ilvl w:val="1"/>
          <w:numId w:val="4"/>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2C590C1">
      <w:pPr>
        <w:pStyle w:val="303"/>
        <w:numPr>
          <w:ilvl w:val="1"/>
          <w:numId w:val="4"/>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6261D88D">
      <w:pPr>
        <w:pStyle w:val="303"/>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7F32CDD">
      <w:pPr>
        <w:pStyle w:val="304"/>
        <w:numPr>
          <w:ilvl w:val="2"/>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valor total do item;</w:t>
      </w:r>
    </w:p>
    <w:p w14:paraId="757E359E">
      <w:pPr>
        <w:pStyle w:val="304"/>
        <w:numPr>
          <w:ilvl w:val="2"/>
          <w:numId w:val="5"/>
        </w:numPr>
        <w:tabs>
          <w:tab w:val="left" w:pos="851"/>
          <w:tab w:val="left" w:pos="993"/>
        </w:tabs>
        <w:spacing w:before="0" w:after="0" w:line="360" w:lineRule="auto"/>
        <w:ind w:left="0" w:firstLine="0"/>
        <w:rPr>
          <w:b w:val="0"/>
          <w:bCs w:val="0"/>
          <w:sz w:val="18"/>
          <w:szCs w:val="18"/>
        </w:rPr>
      </w:pPr>
      <w:r>
        <w:rPr>
          <w:rFonts w:hint="default" w:ascii="Arial" w:hAnsi="Arial" w:cs="Arial"/>
          <w:b w:val="0"/>
          <w:bCs w:val="0"/>
          <w:sz w:val="18"/>
          <w:szCs w:val="18"/>
        </w:rPr>
        <w:t>Marca;</w:t>
      </w:r>
    </w:p>
    <w:p w14:paraId="18B0B914">
      <w:pPr>
        <w:pStyle w:val="304"/>
        <w:numPr>
          <w:ilvl w:val="2"/>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4"/>
        <w:numPr>
          <w:ilvl w:val="2"/>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item </w:t>
      </w:r>
      <w:r>
        <w:rPr>
          <w:rFonts w:hint="default" w:ascii="Arial" w:hAnsi="Arial" w:cs="Arial"/>
          <w:sz w:val="18"/>
          <w:szCs w:val="18"/>
        </w:rPr>
        <w:t>em seu preço global for vantajoso para a Administração.</w:t>
      </w:r>
    </w:p>
    <w:p w14:paraId="12C7AEA4">
      <w:pPr>
        <w:pStyle w:val="303"/>
        <w:numPr>
          <w:ilvl w:val="1"/>
          <w:numId w:val="5"/>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4"/>
          <w:rFonts w:hint="default" w:ascii="Arial" w:hAnsi="Arial" w:cs="Arial"/>
          <w:sz w:val="18"/>
          <w:szCs w:val="18"/>
        </w:rPr>
        <w:t>art. 71, inciso IX, da Constituição</w:t>
      </w:r>
      <w:r>
        <w:rPr>
          <w:rStyle w:val="324"/>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6C2D19DE">
      <w:pPr>
        <w:pStyle w:val="303"/>
        <w:tabs>
          <w:tab w:val="left" w:pos="851"/>
          <w:tab w:val="left" w:pos="993"/>
        </w:tabs>
        <w:spacing w:before="0" w:after="0" w:line="240" w:lineRule="auto"/>
        <w:rPr>
          <w:rFonts w:hint="default" w:ascii="Arial" w:hAnsi="Arial" w:cs="Arial"/>
          <w:sz w:val="18"/>
          <w:szCs w:val="18"/>
        </w:rPr>
      </w:pPr>
    </w:p>
    <w:p w14:paraId="4F9E1FE1">
      <w:pPr>
        <w:pStyle w:val="278"/>
        <w:widowControl w:val="0"/>
        <w:numPr>
          <w:ilvl w:val="0"/>
          <w:numId w:val="6"/>
        </w:numPr>
        <w:tabs>
          <w:tab w:val="left" w:pos="720"/>
          <w:tab w:val="left" w:pos="851"/>
          <w:tab w:val="clear" w:pos="567"/>
        </w:tabs>
        <w:autoSpaceDN w:val="0"/>
        <w:spacing w:before="0" w:line="360" w:lineRule="auto"/>
        <w:ind w:left="0" w:firstLine="0"/>
        <w:rPr>
          <w:rFonts w:hint="default" w:ascii="Arial" w:hAnsi="Arial" w:cs="Arial"/>
          <w:sz w:val="18"/>
          <w:szCs w:val="18"/>
        </w:rPr>
      </w:pPr>
      <w:bookmarkStart w:id="18" w:name="_Toc122606107"/>
      <w:bookmarkEnd w:id="18"/>
      <w:bookmarkStart w:id="19" w:name="_Hlk114646655"/>
      <w:r>
        <w:rPr>
          <w:rFonts w:hint="default" w:ascii="Arial" w:hAnsi="Arial" w:cs="Arial"/>
          <w:sz w:val="18"/>
          <w:szCs w:val="18"/>
        </w:rPr>
        <w:t>DA ABERTURA DA SESSÃO, CLASSIFICAÇÃO DAS PROPOSTAS E FORMULAÇÃO DE LANCES</w:t>
      </w:r>
      <w:bookmarkEnd w:id="19"/>
    </w:p>
    <w:p w14:paraId="04DAC18C">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3116DB5D">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7EB02A3C">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2C2D6D4B">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51820378">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773C9EFA">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6ABB4ABD">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50695BD3">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06743A93">
      <w:pPr>
        <w:pStyle w:val="303"/>
        <w:numPr>
          <w:ilvl w:val="1"/>
          <w:numId w:val="7"/>
        </w:numPr>
        <w:tabs>
          <w:tab w:val="left" w:pos="720"/>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rPr>
        <w:t xml:space="preserve">VALOR </w:t>
      </w:r>
      <w:r>
        <w:rPr>
          <w:b/>
          <w:sz w:val="18"/>
          <w:szCs w:val="18"/>
        </w:rPr>
        <w:t xml:space="preserve">DO </w:t>
      </w:r>
      <w:r>
        <w:rPr>
          <w:rFonts w:hint="default"/>
          <w:b/>
          <w:sz w:val="18"/>
          <w:szCs w:val="18"/>
          <w:lang w:val="pt-BR"/>
        </w:rPr>
        <w:t xml:space="preserve">ITEM. </w:t>
      </w:r>
    </w:p>
    <w:p w14:paraId="5C1B77D1">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76127BBA">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1F3B196">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cs="Arial"/>
          <w:iCs/>
          <w:color w:val="auto"/>
          <w:sz w:val="18"/>
          <w:szCs w:val="18"/>
          <w:lang w:val="pt-BR"/>
        </w:rPr>
        <w:t xml:space="preserve">R$ </w:t>
      </w:r>
      <w:r>
        <w:rPr>
          <w:rFonts w:hint="default" w:cs="Arial"/>
          <w:iCs/>
          <w:sz w:val="18"/>
          <w:szCs w:val="18"/>
          <w:lang w:val="pt-BR"/>
        </w:rPr>
        <w:t>0,01 (um centavo).</w:t>
      </w:r>
    </w:p>
    <w:p w14:paraId="59E1DB5C">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35436813">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21D2E94E">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75FE9D86">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8B1D06D">
      <w:pPr>
        <w:pStyle w:val="304"/>
        <w:numPr>
          <w:ilvl w:val="2"/>
          <w:numId w:val="7"/>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A589A15">
      <w:pPr>
        <w:pStyle w:val="304"/>
        <w:numPr>
          <w:ilvl w:val="2"/>
          <w:numId w:val="7"/>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22327B64">
      <w:pPr>
        <w:pStyle w:val="304"/>
        <w:numPr>
          <w:ilvl w:val="2"/>
          <w:numId w:val="7"/>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A754FE1">
      <w:pPr>
        <w:pStyle w:val="304"/>
        <w:numPr>
          <w:ilvl w:val="2"/>
          <w:numId w:val="7"/>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4B871D6A">
      <w:pPr>
        <w:pStyle w:val="303"/>
        <w:numPr>
          <w:ilvl w:val="1"/>
          <w:numId w:val="7"/>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5A6A41E6">
      <w:pPr>
        <w:pStyle w:val="303"/>
        <w:numPr>
          <w:ilvl w:val="1"/>
          <w:numId w:val="7"/>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3F565BF0">
      <w:pPr>
        <w:pStyle w:val="303"/>
        <w:numPr>
          <w:ilvl w:val="1"/>
          <w:numId w:val="7"/>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206062B0">
      <w:pPr>
        <w:pStyle w:val="303"/>
        <w:numPr>
          <w:ilvl w:val="1"/>
          <w:numId w:val="7"/>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143C149E">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0ED4EFC1">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4"/>
          <w:rFonts w:hint="default" w:ascii="Arial" w:hAnsi="Arial" w:eastAsia="zurich bt" w:cs="Arial"/>
          <w:sz w:val="18"/>
          <w:szCs w:val="18"/>
        </w:rPr>
        <w:t>arts. 44 e 45 da Lei Complementar nº 123, de 2006</w:t>
      </w:r>
      <w:r>
        <w:rPr>
          <w:rStyle w:val="324"/>
          <w:rFonts w:hint="default" w:ascii="Arial" w:hAnsi="Arial" w:eastAsia="zurich bt" w:cs="Arial"/>
          <w:sz w:val="18"/>
          <w:szCs w:val="18"/>
        </w:rPr>
        <w:fldChar w:fldCharType="end"/>
      </w:r>
      <w:r>
        <w:rPr>
          <w:rFonts w:hint="default" w:ascii="Arial" w:hAnsi="Arial" w:cs="Arial"/>
          <w:sz w:val="18"/>
          <w:szCs w:val="18"/>
        </w:rPr>
        <w:t>.</w:t>
      </w:r>
    </w:p>
    <w:p w14:paraId="630E34F5">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572F8211">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870D7E">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054F5F4C">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8C7483">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5FFBF47F">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4"/>
          <w:rFonts w:hint="default" w:ascii="Arial" w:hAnsi="Arial" w:cs="Arial"/>
          <w:sz w:val="18"/>
          <w:szCs w:val="18"/>
        </w:rPr>
        <w:t>art. 60 da Lei nº 14.133, de 2021</w:t>
      </w:r>
      <w:r>
        <w:rPr>
          <w:rStyle w:val="324"/>
          <w:rFonts w:hint="default" w:ascii="Arial" w:hAnsi="Arial" w:cs="Arial"/>
          <w:sz w:val="18"/>
          <w:szCs w:val="18"/>
        </w:rPr>
        <w:fldChar w:fldCharType="end"/>
      </w:r>
      <w:r>
        <w:rPr>
          <w:rFonts w:hint="default" w:ascii="Arial" w:hAnsi="Arial" w:cs="Arial"/>
          <w:sz w:val="18"/>
          <w:szCs w:val="18"/>
        </w:rPr>
        <w:t>, nesta ordem:</w:t>
      </w:r>
    </w:p>
    <w:p w14:paraId="4EB6CE88">
      <w:pPr>
        <w:pStyle w:val="305"/>
        <w:numPr>
          <w:ilvl w:val="3"/>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1C2C4F38">
      <w:pPr>
        <w:pStyle w:val="305"/>
        <w:numPr>
          <w:ilvl w:val="3"/>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5C38854A">
      <w:pPr>
        <w:pStyle w:val="305"/>
        <w:numPr>
          <w:ilvl w:val="3"/>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6CE66482">
      <w:pPr>
        <w:pStyle w:val="305"/>
        <w:numPr>
          <w:ilvl w:val="3"/>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6FD0029A">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48D0F7A2">
      <w:pPr>
        <w:pStyle w:val="305"/>
        <w:numPr>
          <w:ilvl w:val="3"/>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6955BA8">
      <w:pPr>
        <w:pStyle w:val="305"/>
        <w:numPr>
          <w:ilvl w:val="3"/>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0CCDFB55">
      <w:pPr>
        <w:pStyle w:val="305"/>
        <w:numPr>
          <w:ilvl w:val="3"/>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50E1AF0E">
      <w:pPr>
        <w:pStyle w:val="305"/>
        <w:numPr>
          <w:ilvl w:val="3"/>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4"/>
          <w:rFonts w:hint="default" w:ascii="Arial" w:hAnsi="Arial" w:cs="Arial"/>
          <w:sz w:val="18"/>
          <w:szCs w:val="18"/>
        </w:rPr>
        <w:t>Lei nº 12.187, de 29 de dezembro de 2009</w:t>
      </w:r>
      <w:r>
        <w:rPr>
          <w:rStyle w:val="324"/>
          <w:rFonts w:hint="default" w:ascii="Arial" w:hAnsi="Arial" w:cs="Arial"/>
          <w:sz w:val="18"/>
          <w:szCs w:val="18"/>
        </w:rPr>
        <w:fldChar w:fldCharType="end"/>
      </w:r>
      <w:r>
        <w:rPr>
          <w:rFonts w:hint="default" w:ascii="Arial" w:hAnsi="Arial" w:cs="Arial"/>
          <w:sz w:val="18"/>
          <w:szCs w:val="18"/>
        </w:rPr>
        <w:t>.</w:t>
      </w:r>
    </w:p>
    <w:p w14:paraId="78113A2D">
      <w:pPr>
        <w:pStyle w:val="303"/>
        <w:numPr>
          <w:ilvl w:val="1"/>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66CB3C16">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1B9B05E">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será realizada por meio do sistema, podendo ser acompanhada pelos demais licitantes.</w:t>
      </w:r>
    </w:p>
    <w:p w14:paraId="21F513E2">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resultado da negociação será divulgado a todos os licitantes e anexado aos autos do processo licitatório</w:t>
      </w:r>
    </w:p>
    <w:p w14:paraId="4BF858C0">
      <w:pPr>
        <w:pStyle w:val="304"/>
        <w:numPr>
          <w:ilvl w:val="2"/>
          <w:numId w:val="7"/>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19FCB1FA">
      <w:pPr>
        <w:pStyle w:val="304"/>
        <w:numPr>
          <w:ilvl w:val="2"/>
          <w:numId w:val="7"/>
        </w:numPr>
        <w:tabs>
          <w:tab w:val="left" w:pos="720"/>
        </w:tabs>
        <w:spacing w:before="0" w:after="0" w:line="360" w:lineRule="auto"/>
        <w:ind w:left="0" w:firstLine="0"/>
        <w:rPr>
          <w:rFonts w:hint="default" w:ascii="Arial" w:hAnsi="Arial" w:cs="Arial"/>
          <w:b/>
          <w:bCs/>
          <w:sz w:val="18"/>
          <w:szCs w:val="18"/>
          <w:u w:val="none"/>
        </w:rPr>
      </w:pPr>
      <w:r>
        <w:rPr>
          <w:rFonts w:hint="default" w:ascii="Arial" w:hAnsi="Arial" w:cs="Arial"/>
          <w:sz w:val="18"/>
          <w:szCs w:val="18"/>
        </w:rPr>
        <w:t>É facultado ao Agente de Contratação prorrogar o prazo estabelecido, a partir de solicitação fundamentada feita no chat pelo licitante, antes de findo o prazo.</w:t>
      </w:r>
    </w:p>
    <w:p w14:paraId="231E6F70">
      <w:pPr>
        <w:pStyle w:val="304"/>
        <w:numPr>
          <w:numId w:val="0"/>
        </w:numPr>
        <w:tabs>
          <w:tab w:val="left" w:pos="720"/>
        </w:tabs>
        <w:spacing w:before="0" w:after="0" w:line="360" w:lineRule="auto"/>
        <w:ind w:leftChars="0"/>
        <w:rPr>
          <w:rFonts w:hint="default" w:ascii="Arial" w:hAnsi="Arial" w:cs="Arial"/>
          <w:b/>
          <w:bCs/>
          <w:sz w:val="18"/>
          <w:szCs w:val="18"/>
          <w:u w:val="none"/>
        </w:rPr>
      </w:pPr>
      <w:r>
        <w:rPr>
          <w:rFonts w:hint="default" w:cs="Arial"/>
          <w:sz w:val="18"/>
          <w:szCs w:val="18"/>
          <w:lang w:val="pt-BR"/>
        </w:rPr>
        <w:t xml:space="preserve">6.21 </w:t>
      </w:r>
      <w:r>
        <w:rPr>
          <w:rFonts w:hint="default" w:ascii="Arial" w:hAnsi="Arial" w:cs="Arial"/>
          <w:sz w:val="18"/>
          <w:szCs w:val="18"/>
        </w:rPr>
        <w:t>Após a negociação do preço, o Agente de Contratação iniciará a fase de aceitação e julgamento da proposta.</w:t>
      </w:r>
    </w:p>
    <w:p w14:paraId="5DC7639A">
      <w:pPr>
        <w:pStyle w:val="303"/>
        <w:numPr>
          <w:ilvl w:val="0"/>
          <w:numId w:val="0"/>
        </w:numPr>
        <w:pBdr>
          <w:top w:val="single" w:color="auto" w:sz="4" w:space="0"/>
          <w:left w:val="single" w:color="auto" w:sz="4" w:space="0"/>
          <w:bottom w:val="single" w:color="auto" w:sz="4" w:space="0"/>
          <w:right w:val="single" w:color="auto" w:sz="4" w:space="0"/>
        </w:pBdr>
        <w:tabs>
          <w:tab w:val="left" w:pos="720"/>
        </w:tabs>
        <w:spacing w:before="0" w:after="0" w:line="360" w:lineRule="auto"/>
        <w:ind w:leftChars="0"/>
        <w:rPr>
          <w:rFonts w:hint="default" w:ascii="Arial" w:hAnsi="Arial" w:eastAsia="LiberationSerif-Bold" w:cs="Arial"/>
          <w:b/>
          <w:bCs/>
          <w:sz w:val="18"/>
          <w:szCs w:val="18"/>
          <w:lang w:eastAsia="zh-CN"/>
        </w:rPr>
      </w:pPr>
      <w:r>
        <w:rPr>
          <w:rFonts w:hint="default" w:cs="Arial"/>
          <w:b/>
          <w:bCs/>
          <w:sz w:val="18"/>
          <w:szCs w:val="18"/>
          <w:lang w:val="pt-BR"/>
        </w:rPr>
        <w:t xml:space="preserve">6.22 </w:t>
      </w:r>
      <w:r>
        <w:rPr>
          <w:rFonts w:hint="default" w:ascii="Arial" w:hAnsi="Arial"/>
          <w:b/>
          <w:bCs/>
          <w:sz w:val="18"/>
          <w:szCs w:val="18"/>
        </w:rPr>
        <w:t>Para os itens classificados como medicamentos, deverá</w:t>
      </w:r>
      <w:r>
        <w:rPr>
          <w:rFonts w:hint="default" w:cs="Arial"/>
          <w:b/>
          <w:bCs/>
          <w:sz w:val="18"/>
          <w:szCs w:val="18"/>
          <w:lang w:val="pt-BR"/>
        </w:rPr>
        <w:t xml:space="preserve"> ser apresentado o </w:t>
      </w:r>
      <w:r>
        <w:rPr>
          <w:rFonts w:hint="default" w:ascii="Arial" w:hAnsi="Arial" w:cs="Arial"/>
          <w:b/>
          <w:bCs/>
          <w:sz w:val="18"/>
          <w:szCs w:val="18"/>
        </w:rPr>
        <w:t xml:space="preserve">NÚMERO DO REGISTRO válido do produto na Agência Nacional de Vigilância Sanitária – ANVISA  </w:t>
      </w:r>
      <w:r>
        <w:rPr>
          <w:rFonts w:hint="default" w:ascii="Arial" w:hAnsi="Arial" w:cs="Arial"/>
          <w:b/>
          <w:bCs/>
          <w:sz w:val="18"/>
          <w:szCs w:val="18"/>
          <w:u w:val="none"/>
        </w:rPr>
        <w:t>(o número poderá ser informado na proposta vencedora).</w:t>
      </w:r>
    </w:p>
    <w:p w14:paraId="559E4FF2">
      <w:pPr>
        <w:pStyle w:val="303"/>
        <w:numPr>
          <w:ilvl w:val="0"/>
          <w:numId w:val="0"/>
        </w:numPr>
        <w:pBdr>
          <w:top w:val="single" w:color="auto" w:sz="4" w:space="0"/>
          <w:left w:val="single" w:color="auto" w:sz="4" w:space="0"/>
          <w:bottom w:val="single" w:color="auto" w:sz="4" w:space="0"/>
          <w:right w:val="single" w:color="auto" w:sz="4" w:space="0"/>
        </w:pBdr>
        <w:tabs>
          <w:tab w:val="left" w:pos="720"/>
        </w:tabs>
        <w:spacing w:before="0" w:after="0" w:line="360" w:lineRule="auto"/>
        <w:ind w:leftChars="0"/>
        <w:rPr>
          <w:rFonts w:hint="default" w:ascii="Arial" w:hAnsi="Arial" w:cs="Arial"/>
          <w:b/>
          <w:bCs/>
          <w:sz w:val="18"/>
          <w:szCs w:val="18"/>
          <w:u w:val="none"/>
        </w:rPr>
      </w:pPr>
      <w:r>
        <w:rPr>
          <w:rFonts w:hint="default" w:cs="Arial"/>
          <w:b/>
          <w:bCs/>
          <w:sz w:val="18"/>
          <w:szCs w:val="18"/>
          <w:u w:val="none"/>
          <w:lang w:val="pt-BR"/>
        </w:rPr>
        <w:t>6.22.1</w:t>
      </w:r>
      <w:r>
        <w:rPr>
          <w:rFonts w:hint="default" w:ascii="Arial" w:hAnsi="Arial" w:cs="Arial"/>
          <w:b/>
          <w:bCs/>
          <w:sz w:val="18"/>
          <w:szCs w:val="18"/>
          <w:highlight w:val="none"/>
          <w:lang w:val="pt-BR"/>
        </w:rPr>
        <w:t xml:space="preserve"> </w:t>
      </w:r>
      <w:r>
        <w:rPr>
          <w:rFonts w:hint="default" w:ascii="Arial" w:hAnsi="Arial" w:cs="Arial"/>
          <w:b/>
          <w:bCs/>
          <w:sz w:val="18"/>
          <w:szCs w:val="18"/>
          <w:highlight w:val="none"/>
        </w:rPr>
        <w:t>Caso o produto esteja dispensado de registro, a licitante deverá encaminhar Declaração de Notificação de Dispensa de Registro ou Certificado de Dispensa de Registro, emitido pela ANVISA ou outro documento oficial apto a comprovar a dispensa do registro.</w:t>
      </w:r>
    </w:p>
    <w:p w14:paraId="05F7F92F">
      <w:pPr>
        <w:pStyle w:val="303"/>
        <w:tabs>
          <w:tab w:val="left" w:pos="851"/>
          <w:tab w:val="left" w:pos="993"/>
        </w:tabs>
        <w:spacing w:before="0" w:after="0" w:line="240" w:lineRule="auto"/>
        <w:rPr>
          <w:rFonts w:hint="default" w:ascii="Arial" w:hAnsi="Arial" w:cs="Arial"/>
          <w:sz w:val="18"/>
          <w:szCs w:val="18"/>
        </w:rPr>
      </w:pPr>
    </w:p>
    <w:p w14:paraId="617BED21">
      <w:pPr>
        <w:pStyle w:val="220"/>
        <w:numPr>
          <w:ilvl w:val="0"/>
          <w:numId w:val="6"/>
        </w:numPr>
        <w:tabs>
          <w:tab w:val="left" w:pos="-6285"/>
        </w:tabs>
        <w:spacing w:line="360" w:lineRule="auto"/>
        <w:ind w:left="0" w:leftChars="0" w:firstLine="0" w:firstLineChars="0"/>
        <w:jc w:val="both"/>
        <w:rPr>
          <w:rFonts w:hint="default" w:ascii="Arial" w:hAnsi="Arial" w:cs="Arial"/>
          <w:b/>
          <w:sz w:val="18"/>
          <w:szCs w:val="18"/>
        </w:rPr>
      </w:pPr>
      <w:r>
        <w:rPr>
          <w:rFonts w:hint="default" w:ascii="Arial" w:hAnsi="Arial" w:cs="Arial"/>
          <w:b/>
          <w:sz w:val="18"/>
          <w:szCs w:val="18"/>
        </w:rPr>
        <w:t>DA FASE DE JULGAMENTO</w:t>
      </w:r>
    </w:p>
    <w:p w14:paraId="52FD9CD5">
      <w:pPr>
        <w:pStyle w:val="220"/>
        <w:numPr>
          <w:ilvl w:val="1"/>
          <w:numId w:val="8"/>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4"/>
          <w:rFonts w:hint="default" w:ascii="Arial" w:hAnsi="Arial" w:cs="Arial"/>
          <w:sz w:val="18"/>
          <w:szCs w:val="18"/>
        </w:rPr>
        <w:t>art. 14 da Lei nº 14.133/2021</w:t>
      </w:r>
      <w:r>
        <w:rPr>
          <w:rStyle w:val="324"/>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0"/>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0"/>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4"/>
          <w:rFonts w:hint="default" w:ascii="Arial" w:hAnsi="Arial" w:cs="Arial"/>
          <w:color w:val="auto"/>
          <w:sz w:val="18"/>
          <w:szCs w:val="18"/>
        </w:rPr>
        <w:t>https://www.portaltransparencia.gov.br/sancoes/ceis</w:t>
      </w:r>
      <w:r>
        <w:rPr>
          <w:rStyle w:val="324"/>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0"/>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0"/>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0"/>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4"/>
          <w:rFonts w:hint="default" w:ascii="Arial" w:hAnsi="Arial" w:cs="Arial"/>
          <w:color w:val="auto"/>
          <w:sz w:val="18"/>
          <w:szCs w:val="18"/>
        </w:rPr>
        <w:t>https://www.portaltransparencia.gov.br/sancoes/cnep</w:t>
      </w:r>
      <w:r>
        <w:rPr>
          <w:rStyle w:val="324"/>
          <w:rFonts w:hint="default" w:ascii="Arial" w:hAnsi="Arial" w:cs="Arial"/>
          <w:color w:val="auto"/>
          <w:sz w:val="18"/>
          <w:szCs w:val="18"/>
        </w:rPr>
        <w:fldChar w:fldCharType="end"/>
      </w:r>
      <w:r>
        <w:rPr>
          <w:rFonts w:hint="default" w:ascii="Arial" w:hAnsi="Arial" w:cs="Arial"/>
          <w:sz w:val="18"/>
          <w:szCs w:val="18"/>
        </w:rPr>
        <w:t>).</w:t>
      </w:r>
    </w:p>
    <w:p w14:paraId="725EB89B">
      <w:pPr>
        <w:pStyle w:val="220"/>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3"/>
        <w:numPr>
          <w:ilvl w:val="1"/>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4"/>
          <w:rFonts w:hint="default" w:ascii="Arial" w:hAnsi="Arial" w:cs="Arial"/>
          <w:sz w:val="18"/>
          <w:szCs w:val="18"/>
        </w:rPr>
        <w:t>artigo 12 da Lei n° 8.429, de 1992</w:t>
      </w:r>
      <w:r>
        <w:rPr>
          <w:rStyle w:val="324"/>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3"/>
        <w:numPr>
          <w:ilvl w:val="1"/>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4"/>
          <w:rFonts w:hint="default" w:ascii="Arial" w:hAnsi="Arial" w:cs="Arial"/>
          <w:sz w:val="18"/>
          <w:szCs w:val="18"/>
        </w:rPr>
        <w:t xml:space="preserve">IN nº 3/2018, art. 29, </w:t>
      </w:r>
      <w:r>
        <w:rPr>
          <w:rStyle w:val="324"/>
          <w:rFonts w:hint="default" w:ascii="Arial" w:hAnsi="Arial" w:cs="Arial"/>
          <w:i/>
          <w:iCs/>
          <w:sz w:val="18"/>
          <w:szCs w:val="18"/>
        </w:rPr>
        <w:t>caput</w:t>
      </w:r>
      <w:r>
        <w:rPr>
          <w:rStyle w:val="324"/>
          <w:rFonts w:hint="default" w:ascii="Arial" w:hAnsi="Arial" w:cs="Arial"/>
          <w:i/>
          <w:iCs/>
          <w:sz w:val="18"/>
          <w:szCs w:val="18"/>
        </w:rPr>
        <w:fldChar w:fldCharType="end"/>
      </w:r>
      <w:r>
        <w:rPr>
          <w:rFonts w:hint="default" w:ascii="Arial" w:hAnsi="Arial" w:cs="Arial"/>
          <w:sz w:val="18"/>
          <w:szCs w:val="18"/>
        </w:rPr>
        <w:t>)</w:t>
      </w:r>
    </w:p>
    <w:p w14:paraId="7F4AB838">
      <w:pPr>
        <w:pStyle w:val="304"/>
        <w:numPr>
          <w:ilvl w:val="2"/>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IN nº 3/2018, art. 29, §1º</w:t>
      </w:r>
      <w:r>
        <w:rPr>
          <w:rStyle w:val="324"/>
          <w:rFonts w:hint="default" w:ascii="Arial" w:hAnsi="Arial" w:cs="Arial"/>
          <w:sz w:val="18"/>
          <w:szCs w:val="18"/>
        </w:rPr>
        <w:fldChar w:fldCharType="end"/>
      </w:r>
      <w:r>
        <w:rPr>
          <w:rFonts w:hint="default" w:ascii="Arial" w:hAnsi="Arial" w:cs="Arial"/>
          <w:sz w:val="18"/>
          <w:szCs w:val="18"/>
        </w:rPr>
        <w:t>).</w:t>
      </w:r>
    </w:p>
    <w:p w14:paraId="0C44FBFF">
      <w:pPr>
        <w:pStyle w:val="304"/>
        <w:numPr>
          <w:ilvl w:val="2"/>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IN nº 3/2018, art. 29, §2º</w:t>
      </w:r>
      <w:r>
        <w:rPr>
          <w:rStyle w:val="324"/>
          <w:rFonts w:hint="default" w:ascii="Arial" w:hAnsi="Arial" w:cs="Arial"/>
          <w:sz w:val="18"/>
          <w:szCs w:val="18"/>
        </w:rPr>
        <w:fldChar w:fldCharType="end"/>
      </w:r>
      <w:r>
        <w:rPr>
          <w:rFonts w:hint="default" w:ascii="Arial" w:hAnsi="Arial" w:cs="Arial"/>
          <w:sz w:val="18"/>
          <w:szCs w:val="18"/>
        </w:rPr>
        <w:t>).</w:t>
      </w:r>
    </w:p>
    <w:p w14:paraId="44D7EB39">
      <w:pPr>
        <w:pStyle w:val="304"/>
        <w:numPr>
          <w:ilvl w:val="2"/>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3"/>
        <w:numPr>
          <w:ilvl w:val="1"/>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3"/>
        <w:numPr>
          <w:ilvl w:val="1"/>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3"/>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4"/>
          <w:rFonts w:hint="default" w:ascii="Arial" w:hAnsi="Arial" w:cs="Arial"/>
          <w:sz w:val="18"/>
          <w:szCs w:val="18"/>
        </w:rPr>
        <w:t>artigo 29 a 35 da IN SEGES nº 73, de 30 de setembro de 2022</w:t>
      </w:r>
      <w:r>
        <w:rPr>
          <w:rStyle w:val="324"/>
          <w:rFonts w:hint="default" w:ascii="Arial" w:hAnsi="Arial" w:cs="Arial"/>
          <w:sz w:val="18"/>
          <w:szCs w:val="18"/>
        </w:rPr>
        <w:fldChar w:fldCharType="end"/>
      </w:r>
      <w:r>
        <w:rPr>
          <w:rFonts w:hint="default" w:ascii="Arial" w:hAnsi="Arial" w:cs="Arial"/>
          <w:sz w:val="18"/>
          <w:szCs w:val="18"/>
        </w:rPr>
        <w:t>.</w:t>
      </w:r>
    </w:p>
    <w:p w14:paraId="11517942">
      <w:pPr>
        <w:pStyle w:val="303"/>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3"/>
        <w:numPr>
          <w:ilvl w:val="1"/>
          <w:numId w:val="8"/>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4"/>
        <w:numPr>
          <w:ilvl w:val="2"/>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05"/>
        <w:numPr>
          <w:ilvl w:val="3"/>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05"/>
        <w:numPr>
          <w:ilvl w:val="3"/>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3"/>
        <w:numPr>
          <w:ilvl w:val="1"/>
          <w:numId w:val="8"/>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32D74374">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superação do valor global estimado;</w:t>
      </w:r>
    </w:p>
    <w:p w14:paraId="41D616BB">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4"/>
        <w:numPr>
          <w:ilvl w:val="2"/>
          <w:numId w:val="8"/>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3"/>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3"/>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31CB98">
      <w:pPr>
        <w:pStyle w:val="304"/>
        <w:numPr>
          <w:ilvl w:val="2"/>
          <w:numId w:val="8"/>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FA4F3B8">
      <w:pPr>
        <w:pStyle w:val="303"/>
        <w:numPr>
          <w:ilvl w:val="1"/>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4"/>
        <w:numPr>
          <w:ilvl w:val="2"/>
          <w:numId w:val="8"/>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51959238">
      <w:pPr>
        <w:pStyle w:val="303"/>
        <w:numPr>
          <w:ilvl w:val="1"/>
          <w:numId w:val="8"/>
        </w:numPr>
        <w:tabs>
          <w:tab w:val="left" w:pos="709"/>
          <w:tab w:val="left" w:pos="851"/>
          <w:tab w:val="left" w:pos="993"/>
        </w:tabs>
        <w:spacing w:before="0" w:after="0" w:line="360" w:lineRule="auto"/>
        <w:ind w:left="0" w:firstLine="0"/>
        <w:rPr>
          <w:rFonts w:hint="default" w:ascii="Arial" w:hAnsi="Arial" w:cs="Arial"/>
          <w:b/>
          <w:i/>
          <w:iCs/>
          <w:sz w:val="18"/>
          <w:szCs w:val="18"/>
        </w:rPr>
      </w:pPr>
      <w:r>
        <w:rPr>
          <w:rFonts w:hint="default" w:ascii="Arial" w:hAnsi="Arial" w:cs="Arial"/>
          <w:b/>
          <w:sz w:val="18"/>
          <w:szCs w:val="18"/>
        </w:rPr>
        <w:t xml:space="preserve"> Caso o Termo de Referência exija a apresentação de amostra, o licitante classificado em primeiro lugar deverá apresentá-la, conforme disciplinado no Termo de Referência, sob pena de não aceitação da proposta.</w:t>
      </w:r>
    </w:p>
    <w:p w14:paraId="1AC01571">
      <w:pPr>
        <w:pStyle w:val="303"/>
        <w:numPr>
          <w:ilvl w:val="1"/>
          <w:numId w:val="8"/>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resultados das avaliações serão divulgados por meio de mensagem no sistema.</w:t>
      </w:r>
    </w:p>
    <w:p w14:paraId="47D72262">
      <w:pPr>
        <w:pStyle w:val="303"/>
        <w:numPr>
          <w:ilvl w:val="1"/>
          <w:numId w:val="8"/>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não haver entrega da amostra ou ocorrer atraso na entrega, sem justificativa aceita pelo Agente de Contratação, ou havendo entrega de amostra fora das especificações previstas neste Edital, </w:t>
      </w:r>
      <w:r>
        <w:rPr>
          <w:rFonts w:hint="default" w:ascii="Arial" w:hAnsi="Arial" w:cs="Arial"/>
          <w:b/>
          <w:bCs/>
          <w:sz w:val="18"/>
          <w:szCs w:val="18"/>
        </w:rPr>
        <w:t>a proposta do licitante será recusada.</w:t>
      </w:r>
    </w:p>
    <w:p w14:paraId="34FE2252">
      <w:pPr>
        <w:pStyle w:val="303"/>
        <w:numPr>
          <w:ilvl w:val="1"/>
          <w:numId w:val="8"/>
        </w:numPr>
        <w:tabs>
          <w:tab w:val="left" w:pos="709"/>
          <w:tab w:val="left" w:pos="851"/>
          <w:tab w:val="left" w:pos="993"/>
        </w:tabs>
        <w:spacing w:before="0" w:after="0" w:line="360" w:lineRule="auto"/>
        <w:ind w:left="0" w:firstLine="0"/>
        <w:rPr>
          <w:rFonts w:hint="default" w:ascii="Arial" w:hAnsi="Arial" w:eastAsia="LiberationSerif-Bold"/>
          <w:bCs/>
          <w:sz w:val="18"/>
          <w:szCs w:val="18"/>
          <w:lang w:eastAsia="zh-CN"/>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7E451087">
      <w:pPr>
        <w:pStyle w:val="303"/>
        <w:numPr>
          <w:ilvl w:val="0"/>
          <w:numId w:val="0"/>
        </w:numPr>
        <w:tabs>
          <w:tab w:val="left" w:pos="709"/>
          <w:tab w:val="left" w:pos="851"/>
          <w:tab w:val="left" w:pos="993"/>
        </w:tabs>
        <w:spacing w:before="0" w:after="0" w:line="360" w:lineRule="auto"/>
        <w:ind w:leftChars="0"/>
        <w:rPr>
          <w:rFonts w:hint="default" w:ascii="Arial" w:hAnsi="Arial" w:eastAsia="LiberationSerif-Bold"/>
          <w:bCs/>
          <w:sz w:val="18"/>
          <w:szCs w:val="18"/>
          <w:lang w:eastAsia="zh-CN"/>
        </w:rPr>
      </w:pPr>
    </w:p>
    <w:p w14:paraId="3490262C">
      <w:pPr>
        <w:pStyle w:val="278"/>
        <w:widowControl w:val="0"/>
        <w:numPr>
          <w:ilvl w:val="0"/>
          <w:numId w:val="0"/>
        </w:numPr>
        <w:tabs>
          <w:tab w:val="clear" w:pos="567"/>
        </w:tabs>
        <w:autoSpaceDN w:val="0"/>
        <w:spacing w:before="0" w:line="360" w:lineRule="auto"/>
        <w:rPr>
          <w:rFonts w:hint="default" w:ascii="Arial" w:hAnsi="Arial" w:cs="Arial"/>
          <w:sz w:val="18"/>
          <w:szCs w:val="18"/>
        </w:rPr>
      </w:pPr>
      <w:bookmarkStart w:id="20" w:name="_Toc122606109"/>
      <w:bookmarkEnd w:id="20"/>
      <w:r>
        <w:rPr>
          <w:rFonts w:hint="default" w:ascii="Arial" w:hAnsi="Arial" w:cs="Arial"/>
          <w:sz w:val="18"/>
          <w:szCs w:val="18"/>
        </w:rPr>
        <w:t>8   DA FASE DE HABILITAÇÃO</w:t>
      </w:r>
    </w:p>
    <w:p w14:paraId="4517BF1F">
      <w:pPr>
        <w:pStyle w:val="303"/>
        <w:numPr>
          <w:ilvl w:val="1"/>
          <w:numId w:val="9"/>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4"/>
          <w:rFonts w:hint="default" w:ascii="Arial" w:hAnsi="Arial" w:cs="Arial"/>
          <w:sz w:val="18"/>
          <w:szCs w:val="18"/>
        </w:rPr>
        <w:t>arts. 62 a 70 da Lei nº 14.133, de 2021</w:t>
      </w:r>
      <w:r>
        <w:rPr>
          <w:rStyle w:val="324"/>
          <w:rFonts w:hint="default" w:ascii="Arial" w:hAnsi="Arial" w:cs="Arial"/>
          <w:sz w:val="18"/>
          <w:szCs w:val="18"/>
        </w:rPr>
        <w:fldChar w:fldCharType="end"/>
      </w:r>
      <w:r>
        <w:rPr>
          <w:rFonts w:hint="default" w:ascii="Arial" w:hAnsi="Arial" w:cs="Arial"/>
          <w:sz w:val="18"/>
          <w:szCs w:val="18"/>
        </w:rPr>
        <w:t>.</w:t>
      </w:r>
      <w:bookmarkStart w:id="21" w:name="_Ref114663777"/>
      <w:bookmarkEnd w:id="21"/>
    </w:p>
    <w:p w14:paraId="43E5CEEE">
      <w:pPr>
        <w:pStyle w:val="303"/>
        <w:numPr>
          <w:ilvl w:val="1"/>
          <w:numId w:val="9"/>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6D901618">
      <w:pPr>
        <w:pStyle w:val="303"/>
        <w:numPr>
          <w:ilvl w:val="1"/>
          <w:numId w:val="9"/>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5561EF72">
      <w:pPr>
        <w:pStyle w:val="303"/>
        <w:numPr>
          <w:ilvl w:val="1"/>
          <w:numId w:val="9"/>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4623D576">
      <w:pPr>
        <w:pStyle w:val="303"/>
        <w:numPr>
          <w:ilvl w:val="1"/>
          <w:numId w:val="9"/>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1643079A">
      <w:pPr>
        <w:pStyle w:val="303"/>
        <w:numPr>
          <w:ilvl w:val="1"/>
          <w:numId w:val="9"/>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4"/>
          <w:rFonts w:hint="default" w:ascii="Arial" w:hAnsi="Arial" w:cs="Arial"/>
          <w:sz w:val="18"/>
          <w:szCs w:val="18"/>
        </w:rPr>
        <w:t>art. 63, I, da Lei nº 14.133/2021</w:t>
      </w:r>
      <w:r>
        <w:rPr>
          <w:rStyle w:val="324"/>
          <w:rFonts w:hint="default" w:ascii="Arial" w:hAnsi="Arial" w:cs="Arial"/>
          <w:sz w:val="18"/>
          <w:szCs w:val="18"/>
        </w:rPr>
        <w:fldChar w:fldCharType="end"/>
      </w:r>
      <w:r>
        <w:rPr>
          <w:rFonts w:hint="default" w:ascii="Arial" w:hAnsi="Arial" w:cs="Arial"/>
          <w:sz w:val="18"/>
          <w:szCs w:val="18"/>
        </w:rPr>
        <w:t>).</w:t>
      </w:r>
    </w:p>
    <w:p w14:paraId="7D1B7067">
      <w:pPr>
        <w:pStyle w:val="303"/>
        <w:numPr>
          <w:ilvl w:val="1"/>
          <w:numId w:val="9"/>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39EB824">
      <w:pPr>
        <w:pStyle w:val="303"/>
        <w:numPr>
          <w:ilvl w:val="1"/>
          <w:numId w:val="9"/>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7C4183">
      <w:pPr>
        <w:pStyle w:val="303"/>
        <w:numPr>
          <w:ilvl w:val="1"/>
          <w:numId w:val="9"/>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1C1E15AC">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E7D09B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880768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36476381">
      <w:pPr>
        <w:tabs>
          <w:tab w:val="left" w:pos="993"/>
        </w:tabs>
        <w:jc w:val="both"/>
        <w:rPr>
          <w:rFonts w:hint="default" w:ascii="Arial" w:hAnsi="Arial" w:cs="Arial"/>
          <w:sz w:val="18"/>
          <w:szCs w:val="18"/>
        </w:rPr>
      </w:pPr>
      <w:r>
        <w:rPr>
          <w:rFonts w:hint="default" w:ascii="Arial" w:hAnsi="Arial" w:cs="Arial"/>
          <w:sz w:val="18"/>
          <w:szCs w:val="18"/>
        </w:rPr>
        <w:t xml:space="preserve"> </w:t>
      </w:r>
    </w:p>
    <w:p w14:paraId="29DCB003">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76D4735B">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607F2D31">
      <w:pPr>
        <w:tabs>
          <w:tab w:val="left" w:pos="993"/>
        </w:tabs>
        <w:spacing w:line="240" w:lineRule="auto"/>
        <w:jc w:val="both"/>
        <w:rPr>
          <w:rFonts w:hint="default" w:ascii="Arial" w:hAnsi="Arial" w:cs="Arial"/>
          <w:bCs/>
          <w:sz w:val="18"/>
          <w:szCs w:val="18"/>
        </w:rPr>
      </w:pPr>
      <w:r>
        <w:rPr>
          <w:rFonts w:hint="default" w:ascii="Arial" w:hAnsi="Arial" w:cs="Arial"/>
          <w:bCs/>
          <w:sz w:val="18"/>
          <w:szCs w:val="18"/>
        </w:rPr>
        <w:t xml:space="preserve"> </w:t>
      </w:r>
    </w:p>
    <w:p w14:paraId="70A4C029">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11"/>
          <w:rFonts w:hint="default" w:ascii="Arial" w:hAnsi="Arial" w:cs="Arial"/>
          <w:b/>
          <w:sz w:val="18"/>
          <w:szCs w:val="18"/>
        </w:rPr>
        <w:t>Regularidade Fiscal Federal e trabalhista</w:t>
      </w:r>
      <w:r>
        <w:rPr>
          <w:rStyle w:val="11"/>
          <w:rFonts w:hint="default" w:ascii="Arial" w:hAnsi="Arial" w:cs="Arial"/>
          <w:b/>
          <w:sz w:val="18"/>
          <w:szCs w:val="18"/>
        </w:rPr>
        <w:fldChar w:fldCharType="end"/>
      </w:r>
      <w:r>
        <w:rPr>
          <w:rFonts w:hint="default" w:ascii="Arial" w:hAnsi="Arial" w:cs="Arial"/>
          <w:b/>
          <w:sz w:val="18"/>
          <w:szCs w:val="18"/>
        </w:rPr>
        <w:t>:</w:t>
      </w:r>
    </w:p>
    <w:p w14:paraId="701D5BAA">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031D6B2E">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5C47985D">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26024488">
      <w:pPr>
        <w:tabs>
          <w:tab w:val="left" w:pos="993"/>
        </w:tabs>
        <w:spacing w:line="240" w:lineRule="auto"/>
        <w:jc w:val="both"/>
        <w:rPr>
          <w:rFonts w:hint="default" w:ascii="Arial" w:hAnsi="Arial" w:cs="Arial"/>
          <w:b/>
          <w:sz w:val="18"/>
          <w:szCs w:val="18"/>
        </w:rPr>
      </w:pPr>
    </w:p>
    <w:p w14:paraId="277423AA">
      <w:pPr>
        <w:tabs>
          <w:tab w:val="left" w:pos="993"/>
        </w:tabs>
        <w:spacing w:line="240" w:lineRule="auto"/>
        <w:jc w:val="both"/>
        <w:rPr>
          <w:rFonts w:hint="default" w:ascii="Arial" w:hAnsi="Arial" w:cs="Arial"/>
          <w:b/>
          <w:sz w:val="18"/>
          <w:szCs w:val="18"/>
        </w:rPr>
      </w:pPr>
    </w:p>
    <w:p w14:paraId="7C9BC66F">
      <w:pPr>
        <w:tabs>
          <w:tab w:val="left" w:pos="993"/>
        </w:tabs>
        <w:spacing w:line="240" w:lineRule="auto"/>
        <w:jc w:val="both"/>
        <w:rPr>
          <w:rFonts w:hint="default" w:ascii="Arial" w:hAnsi="Arial" w:cs="Arial"/>
          <w:b/>
          <w:sz w:val="18"/>
          <w:szCs w:val="18"/>
        </w:rPr>
      </w:pPr>
    </w:p>
    <w:p w14:paraId="07D6EBC0">
      <w:pPr>
        <w:tabs>
          <w:tab w:val="left" w:pos="993"/>
        </w:tabs>
        <w:spacing w:line="240" w:lineRule="auto"/>
        <w:jc w:val="both"/>
        <w:rPr>
          <w:rFonts w:hint="default" w:ascii="Arial" w:hAnsi="Arial" w:cs="Arial"/>
          <w:b/>
          <w:sz w:val="18"/>
          <w:szCs w:val="18"/>
        </w:rPr>
      </w:pPr>
    </w:p>
    <w:p w14:paraId="6A7A9EFC">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11"/>
          <w:rFonts w:hint="default" w:ascii="Arial" w:hAnsi="Arial" w:cs="Arial"/>
          <w:b/>
          <w:sz w:val="18"/>
          <w:szCs w:val="18"/>
        </w:rPr>
        <w:t>Regularidade Fiscal Estadual e Municipal</w:t>
      </w:r>
      <w:r>
        <w:rPr>
          <w:rStyle w:val="11"/>
          <w:rFonts w:hint="default" w:ascii="Arial" w:hAnsi="Arial" w:cs="Arial"/>
          <w:b/>
          <w:sz w:val="18"/>
          <w:szCs w:val="18"/>
        </w:rPr>
        <w:fldChar w:fldCharType="end"/>
      </w:r>
      <w:r>
        <w:rPr>
          <w:rFonts w:hint="default" w:ascii="Arial" w:hAnsi="Arial" w:cs="Arial"/>
          <w:b/>
          <w:sz w:val="18"/>
          <w:szCs w:val="18"/>
        </w:rPr>
        <w:t>:</w:t>
      </w:r>
    </w:p>
    <w:p w14:paraId="6DD1B65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26E15B0E">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8.9.4.2 Prova de Regularidade com a Fazenda Municipal. </w:t>
      </w:r>
    </w:p>
    <w:p w14:paraId="5481785E">
      <w:pPr>
        <w:tabs>
          <w:tab w:val="left" w:pos="993"/>
        </w:tabs>
        <w:spacing w:line="360" w:lineRule="auto"/>
        <w:jc w:val="both"/>
        <w:rPr>
          <w:rFonts w:hint="default" w:ascii="Arial" w:hAnsi="Arial" w:cs="Arial"/>
          <w:sz w:val="18"/>
          <w:szCs w:val="18"/>
        </w:rPr>
      </w:pPr>
    </w:p>
    <w:p w14:paraId="5BE9E041">
      <w:pPr>
        <w:pStyle w:val="220"/>
        <w:numPr>
          <w:ilvl w:val="2"/>
          <w:numId w:val="10"/>
        </w:num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ascii="Arial" w:hAnsi="Arial" w:cs="Arial"/>
          <w:b/>
          <w:sz w:val="18"/>
          <w:szCs w:val="18"/>
          <w:highlight w:val="yellow"/>
        </w:rPr>
      </w:pPr>
      <w:r>
        <w:rPr>
          <w:rFonts w:ascii="Arial" w:hAnsi="Arial" w:cs="Arial"/>
          <w:b/>
          <w:sz w:val="18"/>
          <w:szCs w:val="18"/>
          <w:highlight w:val="yellow"/>
        </w:rPr>
        <w:t xml:space="preserve">Nível V - Da Qualificação Técnica </w:t>
      </w:r>
    </w:p>
    <w:p w14:paraId="7B93045F">
      <w:pPr>
        <w:pStyle w:val="220"/>
        <w:numPr>
          <w:ilvl w:val="3"/>
          <w:numId w:val="1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0" w:leftChars="0" w:firstLine="0" w:firstLineChars="0"/>
        <w:jc w:val="both"/>
        <w:rPr>
          <w:rFonts w:hint="default" w:ascii="Arial" w:hAnsi="Arial"/>
          <w:sz w:val="18"/>
          <w:szCs w:val="18"/>
        </w:rPr>
      </w:pPr>
      <w:r>
        <w:rPr>
          <w:rFonts w:hint="default" w:ascii="Arial" w:hAnsi="Arial"/>
          <w:sz w:val="18"/>
          <w:szCs w:val="18"/>
        </w:rPr>
        <w:t>Comprovação de aptidão para o fornecimento de bens similares de complexidade tecnológica e operacional equivalente ou superior com o objeto, ou com o item pertinente, por meio da apresentação de certidões ou atestados, por pessoas jurídicas de direito público ou privado. Os atestados de capacidade técnica poderão ser apresentados em nome da matriz ou da filial do fornecedor.</w:t>
      </w:r>
    </w:p>
    <w:p w14:paraId="2534F9B1">
      <w:pPr>
        <w:pStyle w:val="220"/>
        <w:numPr>
          <w:ilvl w:val="3"/>
          <w:numId w:val="1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0" w:leftChars="0" w:firstLine="0" w:firstLineChars="0"/>
        <w:jc w:val="both"/>
        <w:rPr>
          <w:rFonts w:hint="default" w:ascii="Arial" w:hAnsi="Arial"/>
          <w:sz w:val="18"/>
          <w:szCs w:val="18"/>
        </w:rPr>
      </w:pPr>
      <w:r>
        <w:rPr>
          <w:rFonts w:hint="default" w:ascii="Arial" w:hAnsi="Arial"/>
          <w:sz w:val="18"/>
          <w:szCs w:val="18"/>
        </w:rPr>
        <w:t>Comprovação de que os produtos ofertados atendem às normas sanitárias vigentes, mediante apresentação de registro, notificação ou comprovante de isenção de registro junto à Agência Nacional de Vigilância Sanitária – ANVISA, conforme a classificação do produto, nos termos da legislação aplicável.</w:t>
      </w:r>
    </w:p>
    <w:p w14:paraId="1620440E">
      <w:pPr>
        <w:pStyle w:val="220"/>
        <w:numPr>
          <w:ilvl w:val="3"/>
          <w:numId w:val="1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0" w:leftChars="0" w:firstLine="0" w:firstLineChars="0"/>
        <w:jc w:val="both"/>
        <w:rPr>
          <w:rFonts w:hint="default" w:ascii="Arial" w:hAnsi="Arial"/>
          <w:sz w:val="18"/>
          <w:szCs w:val="18"/>
        </w:rPr>
      </w:pPr>
      <w:r>
        <w:rPr>
          <w:rFonts w:hint="default" w:ascii="Arial" w:hAnsi="Arial"/>
          <w:sz w:val="18"/>
          <w:szCs w:val="18"/>
        </w:rPr>
        <w:t>Para os produtos para saúde, saneantes e materiais médico-hospitalares, deverá ser apresentada a regularização sanitária correspondente, compatível com a natureza do produto, admitindo-se registro, notificação ou dispensa, conforme o caso.</w:t>
      </w:r>
    </w:p>
    <w:p w14:paraId="5696AA40">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8.9.6 Qualificação Econômica-Financeira: </w:t>
      </w:r>
    </w:p>
    <w:p w14:paraId="57DE0CC1">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8.9.6.1 Certidão negativa de feitos sobre falência expedida pelo distribuidor da sede do licitante.</w:t>
      </w:r>
    </w:p>
    <w:p w14:paraId="7E6EB92B">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8.9.6.2 </w:t>
      </w:r>
      <w:r>
        <w:rPr>
          <w:rFonts w:hint="default" w:ascii="Arial" w:hAnsi="Arial" w:cs="Arial"/>
          <w:color w:val="101010"/>
          <w:sz w:val="18"/>
          <w:szCs w:val="18"/>
        </w:rPr>
        <w:t>Balanço patrimonial e Demonstração do Resultado do Exercício (demonstrações contábeis) dos 2 (dois) últimos exercícios sociais</w:t>
      </w:r>
      <w:r>
        <w:rPr>
          <w:rFonts w:hint="default" w:ascii="Arial" w:hAnsi="Arial" w:cs="Arial"/>
          <w:color w:val="101010"/>
          <w:sz w:val="18"/>
          <w:szCs w:val="18"/>
          <w:lang w:val="pt-BR"/>
        </w:rPr>
        <w:t xml:space="preserve"> (2024 e 2023)</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 podendo ser apresentado da Matriz.</w:t>
      </w:r>
    </w:p>
    <w:p w14:paraId="169D91FC">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3C82A5B">
      <w:pPr>
        <w:pStyle w:val="220"/>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pacing w:val="-5"/>
          <w:sz w:val="18"/>
          <w:szCs w:val="18"/>
          <w:lang w:val="pt-BR"/>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CA232E3">
      <w:pPr>
        <w:pStyle w:val="220"/>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5D87E7DE">
      <w:pPr>
        <w:pStyle w:val="220"/>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B4759A3">
      <w:pPr>
        <w:pStyle w:val="220"/>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359FFBB7">
      <w:pPr>
        <w:pStyle w:val="220"/>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color w:val="101010"/>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3FFFD685">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pacing w:val="-2"/>
          <w:sz w:val="18"/>
          <w:szCs w:val="18"/>
        </w:rPr>
      </w:pPr>
      <w:r>
        <w:rPr>
          <w:rFonts w:hint="default" w:ascii="Arial" w:hAnsi="Arial" w:cs="Arial"/>
          <w:b/>
          <w:bCs/>
          <w:color w:val="101010"/>
          <w:sz w:val="18"/>
          <w:szCs w:val="18"/>
          <w:lang w:val="pt-BR"/>
        </w:rPr>
        <w:t>8.9.6.2.2.</w:t>
      </w:r>
      <w:r>
        <w:rPr>
          <w:rFonts w:hint="default" w:ascii="Arial" w:hAnsi="Arial" w:cs="Arial"/>
          <w:color w:val="101010"/>
          <w:sz w:val="18"/>
          <w:szCs w:val="18"/>
          <w:lang w:val="pt-BR"/>
        </w:rPr>
        <w:t xml:space="preserve"> </w:t>
      </w:r>
      <w:r>
        <w:rPr>
          <w:rFonts w:hint="default" w:ascii="Arial" w:hAnsi="Arial" w:cs="Arial"/>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color w:val="101010"/>
          <w:spacing w:val="40"/>
          <w:sz w:val="18"/>
          <w:szCs w:val="18"/>
        </w:rPr>
        <w:t xml:space="preserve"> </w:t>
      </w:r>
      <w:r>
        <w:rPr>
          <w:rFonts w:hint="default" w:ascii="Arial" w:hAnsi="Arial" w:cs="Arial"/>
          <w:color w:val="101010"/>
          <w:sz w:val="18"/>
          <w:szCs w:val="18"/>
        </w:rPr>
        <w:t>devidamente autenticado na Junta Comercial da sede ou domicílio da licitante ou em outro órgão</w:t>
      </w:r>
      <w:r>
        <w:rPr>
          <w:rFonts w:hint="default" w:ascii="Arial" w:hAnsi="Arial" w:cs="Arial"/>
          <w:color w:val="101010"/>
          <w:spacing w:val="80"/>
          <w:sz w:val="18"/>
          <w:szCs w:val="18"/>
        </w:rPr>
        <w:t xml:space="preserve"> </w:t>
      </w:r>
      <w:r>
        <w:rPr>
          <w:rFonts w:hint="default" w:ascii="Arial" w:hAnsi="Arial" w:cs="Arial"/>
          <w:color w:val="101010"/>
          <w:spacing w:val="-2"/>
          <w:sz w:val="18"/>
          <w:szCs w:val="18"/>
        </w:rPr>
        <w:t>equivalente;</w:t>
      </w:r>
    </w:p>
    <w:p w14:paraId="4EE93A13">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b/>
          <w:bCs/>
          <w:color w:val="101010"/>
          <w:spacing w:val="-2"/>
          <w:sz w:val="18"/>
          <w:szCs w:val="18"/>
          <w:lang w:val="pt-BR"/>
        </w:rPr>
        <w:t xml:space="preserve">8.9.6.2.3 </w:t>
      </w:r>
      <w:r>
        <w:rPr>
          <w:rFonts w:hint="default" w:ascii="Arial" w:hAnsi="Arial" w:cs="Arial"/>
          <w:color w:val="101010"/>
          <w:sz w:val="18"/>
          <w:szCs w:val="18"/>
        </w:rPr>
        <w:t>Quando se tratar de sociedade constituída há menos de dois anos, os documentos referidos limitar– se–ão ao último exercício.</w:t>
      </w:r>
    </w:p>
    <w:p w14:paraId="51A0313F">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3D594A6A">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8.9.6.2.4 Quando a empresa for Microempreendedor Individual (MEI)</w:t>
      </w:r>
    </w:p>
    <w:p w14:paraId="4C5B785B">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8.9.6.2.4.1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6"/>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6"/>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6D118F01">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8.9.6.2.4.2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sob pena de desclassificação.</w:t>
      </w:r>
    </w:p>
    <w:p w14:paraId="4F33891A">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 se–ão ao último exercício</w:t>
      </w:r>
      <w:r>
        <w:rPr>
          <w:rFonts w:hint="default" w:ascii="Arial" w:hAnsi="Arial" w:cs="Arial"/>
          <w:color w:val="101010"/>
          <w:sz w:val="18"/>
          <w:szCs w:val="18"/>
          <w:lang w:val="pt-BR"/>
        </w:rPr>
        <w:t>.</w:t>
      </w:r>
    </w:p>
    <w:p w14:paraId="0B22AEE3">
      <w:pPr>
        <w:pStyle w:val="220"/>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p>
    <w:p w14:paraId="7AD5C51D">
      <w:pPr>
        <w:pStyle w:val="304"/>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8.9.7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4"/>
          <w:rFonts w:hint="default" w:ascii="Arial" w:hAnsi="Arial" w:cs="Arial"/>
          <w:sz w:val="18"/>
          <w:szCs w:val="18"/>
        </w:rPr>
        <w:t>IN nº 3/2018, art. 4º, §1º, e art. 6º, §4º</w:t>
      </w:r>
      <w:r>
        <w:rPr>
          <w:rStyle w:val="324"/>
          <w:rFonts w:hint="default" w:ascii="Arial" w:hAnsi="Arial" w:cs="Arial"/>
          <w:sz w:val="18"/>
          <w:szCs w:val="18"/>
        </w:rPr>
        <w:fldChar w:fldCharType="end"/>
      </w:r>
      <w:r>
        <w:rPr>
          <w:rFonts w:hint="default" w:ascii="Arial" w:hAnsi="Arial" w:cs="Arial"/>
          <w:sz w:val="18"/>
          <w:szCs w:val="18"/>
        </w:rPr>
        <w:t>).</w:t>
      </w:r>
    </w:p>
    <w:p w14:paraId="6ED46D0B">
      <w:pPr>
        <w:pStyle w:val="304"/>
        <w:tabs>
          <w:tab w:val="left" w:pos="993"/>
        </w:tabs>
        <w:spacing w:before="0" w:after="0" w:line="240" w:lineRule="auto"/>
        <w:ind w:left="0"/>
        <w:rPr>
          <w:rFonts w:hint="default" w:ascii="Arial" w:hAnsi="Arial" w:cs="Arial"/>
          <w:sz w:val="18"/>
          <w:szCs w:val="18"/>
        </w:rPr>
      </w:pPr>
    </w:p>
    <w:p w14:paraId="15FF2B4B">
      <w:pPr>
        <w:pStyle w:val="220"/>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8.9.8 Documentação Complementar:</w:t>
      </w:r>
    </w:p>
    <w:p w14:paraId="66B8AF4A">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8.9.8.1 Serão exigidas, ademais, dos licitantes as declarações dos arts 62 e ss da NLLC</w:t>
      </w:r>
      <w:r>
        <w:rPr>
          <w:rFonts w:hint="default" w:ascii="Arial" w:hAnsi="Arial" w:eastAsia="Arial" w:cs="Arial"/>
          <w:sz w:val="18"/>
          <w:szCs w:val="18"/>
          <w:lang w:val="pt-BR"/>
        </w:rPr>
        <w:t xml:space="preserve"> </w:t>
      </w:r>
      <w:r>
        <w:rPr>
          <w:rFonts w:hint="default" w:ascii="Arial" w:hAnsi="Arial" w:eastAsia="Arial" w:cs="Arial"/>
          <w:b/>
          <w:sz w:val="18"/>
          <w:szCs w:val="18"/>
        </w:rPr>
        <w:t>conforme modelo anexo IV</w:t>
      </w:r>
    </w:p>
    <w:p w14:paraId="4760056B">
      <w:pPr>
        <w:autoSpaceDE w:val="0"/>
        <w:autoSpaceDN w:val="0"/>
        <w:adjustRightInd w:val="0"/>
        <w:spacing w:line="360" w:lineRule="auto"/>
        <w:jc w:val="both"/>
        <w:rPr>
          <w:rFonts w:hint="default" w:ascii="Arial" w:hAnsi="Arial" w:cs="Arial"/>
          <w:b/>
          <w:sz w:val="20"/>
          <w:szCs w:val="20"/>
          <w:shd w:val="clear" w:color="auto" w:fill="FFFFFF"/>
          <w:lang w:val="pt-BR"/>
        </w:rPr>
      </w:pPr>
      <w:r>
        <w:rPr>
          <w:rFonts w:hint="default" w:ascii="Arial" w:hAnsi="Arial" w:eastAsia="Arial" w:cs="Arial"/>
          <w:b/>
          <w:sz w:val="18"/>
          <w:szCs w:val="18"/>
          <w:lang w:val="pt-BR"/>
        </w:rPr>
        <w:t xml:space="preserve">8.9.8.2 (Para as empresas que se enquadram como ME/EPP/Equiparadas) </w:t>
      </w:r>
      <w:r>
        <w:rPr>
          <w:rFonts w:ascii="Arial" w:hAnsi="Arial" w:cs="Arial" w:eastAsiaTheme="minorHAnsi"/>
          <w:b w:val="0"/>
          <w:bCs w:val="0"/>
          <w:sz w:val="18"/>
          <w:szCs w:val="18"/>
          <w:u w:val="single"/>
        </w:rPr>
        <w:t xml:space="preserve">MODELO DE DECLARAÇÃO DE </w:t>
      </w:r>
      <w:r>
        <w:rPr>
          <w:rFonts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V)</w:t>
      </w:r>
    </w:p>
    <w:p w14:paraId="3C77605D">
      <w:pPr>
        <w:pStyle w:val="220"/>
        <w:spacing w:line="240" w:lineRule="auto"/>
        <w:ind w:left="0"/>
        <w:jc w:val="both"/>
        <w:rPr>
          <w:rFonts w:hint="default" w:ascii="Arial" w:hAnsi="Arial" w:eastAsia="Arial" w:cs="Arial"/>
          <w:b/>
          <w:sz w:val="18"/>
          <w:szCs w:val="18"/>
        </w:rPr>
      </w:pPr>
    </w:p>
    <w:p w14:paraId="1F1BD9CB">
      <w:pPr>
        <w:pStyle w:val="303"/>
        <w:numPr>
          <w:ilvl w:val="0"/>
          <w:numId w:val="0"/>
        </w:numPr>
        <w:spacing w:before="0" w:after="0" w:line="360" w:lineRule="auto"/>
        <w:ind w:leftChars="0"/>
        <w:rPr>
          <w:rFonts w:hint="default" w:ascii="Arial" w:hAnsi="Arial" w:eastAsia="Times New Roman" w:cs="Arial"/>
          <w:sz w:val="18"/>
          <w:szCs w:val="18"/>
        </w:rPr>
      </w:pPr>
      <w:r>
        <w:rPr>
          <w:rFonts w:hint="default" w:cs="Arial"/>
          <w:sz w:val="18"/>
          <w:szCs w:val="18"/>
          <w:lang w:val="pt-BR"/>
        </w:rPr>
        <w:t>8</w:t>
      </w:r>
      <w:r>
        <w:rPr>
          <w:rFonts w:hint="default" w:ascii="Arial" w:hAnsi="Arial" w:cs="Arial"/>
          <w:sz w:val="18"/>
          <w:szCs w:val="18"/>
          <w:lang w:val="pt-BR"/>
        </w:rPr>
        <w:t xml:space="preserve">.10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 xml:space="preserve">IN nº 3/2018, art. 7º, </w:t>
      </w:r>
      <w:r>
        <w:rPr>
          <w:rStyle w:val="324"/>
          <w:rFonts w:hint="default" w:ascii="Arial" w:hAnsi="Arial" w:cs="Arial"/>
          <w:i/>
          <w:iCs/>
          <w:sz w:val="18"/>
          <w:szCs w:val="18"/>
        </w:rPr>
        <w:t>caput</w:t>
      </w:r>
      <w:r>
        <w:rPr>
          <w:rStyle w:val="324"/>
          <w:rFonts w:hint="default" w:ascii="Arial" w:hAnsi="Arial" w:cs="Arial"/>
          <w:i/>
          <w:iCs/>
          <w:sz w:val="18"/>
          <w:szCs w:val="18"/>
        </w:rPr>
        <w:fldChar w:fldCharType="end"/>
      </w:r>
      <w:r>
        <w:rPr>
          <w:rFonts w:hint="default" w:ascii="Arial" w:hAnsi="Arial" w:cs="Arial"/>
          <w:sz w:val="18"/>
          <w:szCs w:val="18"/>
        </w:rPr>
        <w:t>).</w:t>
      </w:r>
    </w:p>
    <w:p w14:paraId="7DE857B9">
      <w:pPr>
        <w:pStyle w:val="304"/>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4"/>
          <w:rFonts w:hint="default" w:ascii="Arial" w:hAnsi="Arial" w:cs="Arial"/>
          <w:sz w:val="18"/>
          <w:szCs w:val="18"/>
        </w:rPr>
        <w:t>IN nº 3/2018, art. 7º, parágrafo único</w:t>
      </w:r>
      <w:r>
        <w:rPr>
          <w:rStyle w:val="324"/>
          <w:rFonts w:hint="default" w:ascii="Arial" w:hAnsi="Arial" w:cs="Arial"/>
          <w:sz w:val="18"/>
          <w:szCs w:val="18"/>
        </w:rPr>
        <w:fldChar w:fldCharType="end"/>
      </w:r>
      <w:r>
        <w:rPr>
          <w:rFonts w:hint="default" w:ascii="Arial" w:hAnsi="Arial" w:cs="Arial"/>
          <w:sz w:val="18"/>
          <w:szCs w:val="18"/>
        </w:rPr>
        <w:t>).</w:t>
      </w:r>
    </w:p>
    <w:p w14:paraId="75818531">
      <w:pPr>
        <w:pStyle w:val="303"/>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8.11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0235EC49">
      <w:pPr>
        <w:pStyle w:val="304"/>
        <w:numPr>
          <w:ilvl w:val="0"/>
          <w:numId w:val="0"/>
        </w:numPr>
        <w:spacing w:before="0" w:after="0" w:line="360" w:lineRule="auto"/>
        <w:ind w:leftChars="0"/>
        <w:rPr>
          <w:rFonts w:hint="default" w:ascii="Arial" w:hAnsi="Arial" w:cs="Arial"/>
          <w:i/>
          <w:iCs/>
          <w:sz w:val="18"/>
          <w:szCs w:val="18"/>
        </w:rPr>
      </w:pPr>
      <w:bookmarkStart w:id="22" w:name="_Ref114663151"/>
      <w:bookmarkEnd w:id="22"/>
      <w:r>
        <w:rPr>
          <w:rFonts w:hint="default" w:ascii="Arial" w:hAnsi="Arial" w:cs="Arial"/>
          <w:b/>
          <w:sz w:val="18"/>
          <w:szCs w:val="18"/>
          <w:highlight w:val="yellow"/>
          <w:lang w:val="pt-BR"/>
        </w:rPr>
        <w:t xml:space="preserve">8.12 </w:t>
      </w:r>
      <w:r>
        <w:rPr>
          <w:rFonts w:hint="default" w:ascii="Arial" w:hAnsi="Arial" w:cs="Arial"/>
          <w:b/>
          <w:sz w:val="18"/>
          <w:szCs w:val="18"/>
          <w:highlight w:val="yellow"/>
        </w:rPr>
        <w:t>Os documentos exigidos para habilitação que não estejam contemplados no Sicaf serão enviados por meio do sistema, em formato digital, no prazo</w:t>
      </w:r>
      <w:r>
        <w:rPr>
          <w:rFonts w:hint="default" w:cs="Arial"/>
          <w:b/>
          <w:sz w:val="18"/>
          <w:szCs w:val="18"/>
          <w:highlight w:val="yellow"/>
          <w:lang w:val="pt-BR"/>
        </w:rPr>
        <w:t xml:space="preserve"> mínimo</w:t>
      </w:r>
      <w:r>
        <w:rPr>
          <w:rFonts w:hint="default" w:ascii="Arial" w:hAnsi="Arial" w:cs="Arial"/>
          <w:b/>
          <w:sz w:val="18"/>
          <w:szCs w:val="18"/>
          <w:highlight w:val="yellow"/>
        </w:rPr>
        <w:t xml:space="preserve"> de 2 (DUAS HORAS),</w:t>
      </w:r>
      <w:r>
        <w:rPr>
          <w:rFonts w:hint="default" w:cs="Arial"/>
          <w:b/>
          <w:sz w:val="18"/>
          <w:szCs w:val="18"/>
          <w:highlight w:val="yellow"/>
          <w:lang w:val="pt-BR"/>
        </w:rPr>
        <w:t xml:space="preserve"> prazo a ser definido pelo agente de contratação,</w:t>
      </w:r>
      <w:r>
        <w:rPr>
          <w:rFonts w:hint="default" w:ascii="Arial" w:hAnsi="Arial" w:cs="Arial"/>
          <w:b/>
          <w:sz w:val="18"/>
          <w:szCs w:val="18"/>
          <w:highlight w:val="yellow"/>
        </w:rPr>
        <w:t xml:space="preserve">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559774C7">
      <w:pPr>
        <w:pStyle w:val="304"/>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8.13 </w:t>
      </w:r>
      <w:r>
        <w:rPr>
          <w:rFonts w:hint="default" w:ascii="Arial" w:hAnsi="Arial" w:cs="Arial"/>
          <w:sz w:val="18"/>
          <w:szCs w:val="18"/>
        </w:rPr>
        <w:t xml:space="preserve">Na hipótese de a fase de habilitação anteceder a fase de apresentação de propostas e lances, os licitantes </w:t>
      </w:r>
      <w:r>
        <w:rPr>
          <w:rFonts w:hint="default" w:ascii="Arial" w:hAnsi="Arial" w:cs="Arial"/>
          <w:i w:val="0"/>
          <w:iCs w:val="0"/>
          <w:sz w:val="18"/>
          <w:szCs w:val="18"/>
        </w:rPr>
        <w:t xml:space="preserve">encaminharão, por meio do sistema, simultaneamente os documentos de habilitação e a proposta com o preço ou o percentual de desconto, observado o disposto no </w:t>
      </w:r>
      <w:r>
        <w:rPr>
          <w:rFonts w:hint="default" w:ascii="Arial" w:hAnsi="Arial" w:cs="Arial"/>
          <w:i w:val="0"/>
          <w:iCs w:val="0"/>
          <w:sz w:val="18"/>
          <w:szCs w:val="18"/>
        </w:rPr>
        <w:fldChar w:fldCharType="begin"/>
      </w:r>
      <w:r>
        <w:rPr>
          <w:rFonts w:hint="default" w:ascii="Arial" w:hAnsi="Arial" w:cs="Arial"/>
          <w:i w:val="0"/>
          <w:iCs w:val="0"/>
          <w:sz w:val="18"/>
          <w:szCs w:val="18"/>
        </w:rPr>
        <w:instrText xml:space="preserve"> HYPERLINK "https://www.gov.br/compras/pt-br/acesso-a-informacao/legislacao/instrucoes-normativas/instrucao-normativa-seges-me-no-73-de-30-de-setembro-de-2022" </w:instrText>
      </w:r>
      <w:r>
        <w:rPr>
          <w:rFonts w:hint="default" w:ascii="Arial" w:hAnsi="Arial" w:cs="Arial"/>
          <w:i w:val="0"/>
          <w:iCs w:val="0"/>
          <w:sz w:val="18"/>
          <w:szCs w:val="18"/>
        </w:rPr>
        <w:fldChar w:fldCharType="separate"/>
      </w:r>
      <w:r>
        <w:rPr>
          <w:rStyle w:val="324"/>
          <w:rFonts w:hint="default" w:ascii="Arial" w:hAnsi="Arial" w:cs="Arial"/>
          <w:i w:val="0"/>
          <w:iCs w:val="0"/>
          <w:sz w:val="18"/>
          <w:szCs w:val="18"/>
        </w:rPr>
        <w:t>§ 1º do art. 36 e no § 1º do art. 39 da Instrução Normativa SEGES nº 73, de 30 de setembro de 2022.</w:t>
      </w:r>
      <w:r>
        <w:rPr>
          <w:rStyle w:val="324"/>
          <w:rFonts w:hint="default" w:ascii="Arial" w:hAnsi="Arial" w:cs="Arial"/>
          <w:i w:val="0"/>
          <w:iCs w:val="0"/>
          <w:sz w:val="18"/>
          <w:szCs w:val="18"/>
        </w:rPr>
        <w:fldChar w:fldCharType="end"/>
      </w:r>
    </w:p>
    <w:p w14:paraId="621F3228">
      <w:pPr>
        <w:pStyle w:val="303"/>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8.14 </w:t>
      </w:r>
      <w:r>
        <w:rPr>
          <w:rFonts w:hint="default" w:ascii="Arial" w:hAnsi="Arial" w:cs="Arial"/>
          <w:sz w:val="18"/>
          <w:szCs w:val="18"/>
        </w:rPr>
        <w:t>A verificação no Sicaf ou a exigência dos documentos nele não contidos somente será feita em relação ao licitante vencedor.</w:t>
      </w:r>
    </w:p>
    <w:p w14:paraId="087258D4">
      <w:pPr>
        <w:pStyle w:val="304"/>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48EEF734">
      <w:pPr>
        <w:pStyle w:val="304"/>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56EC58">
      <w:pPr>
        <w:pStyle w:val="303"/>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 xml:space="preserve">8.17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4"/>
          <w:rFonts w:hint="default" w:ascii="Arial" w:hAnsi="Arial" w:cs="Arial"/>
          <w:b/>
          <w:bCs/>
          <w:sz w:val="18"/>
          <w:szCs w:val="18"/>
        </w:rPr>
        <w:t>Lei 14.133/21, art. 64</w:t>
      </w:r>
      <w:r>
        <w:rPr>
          <w:rStyle w:val="324"/>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4"/>
          <w:rFonts w:hint="default" w:ascii="Arial" w:hAnsi="Arial" w:cs="Arial"/>
          <w:b/>
          <w:bCs/>
          <w:sz w:val="18"/>
          <w:szCs w:val="18"/>
        </w:rPr>
        <w:t>IN 73/2022, art. 39, §4º</w:t>
      </w:r>
      <w:r>
        <w:rPr>
          <w:rStyle w:val="324"/>
          <w:rFonts w:hint="default" w:ascii="Arial" w:hAnsi="Arial" w:cs="Arial"/>
          <w:b/>
          <w:bCs/>
          <w:sz w:val="18"/>
          <w:szCs w:val="18"/>
        </w:rPr>
        <w:fldChar w:fldCharType="end"/>
      </w:r>
      <w:r>
        <w:rPr>
          <w:rFonts w:hint="default" w:ascii="Arial" w:hAnsi="Arial" w:cs="Arial"/>
          <w:b/>
          <w:bCs/>
          <w:sz w:val="18"/>
          <w:szCs w:val="18"/>
        </w:rPr>
        <w:t>):</w:t>
      </w:r>
    </w:p>
    <w:p w14:paraId="35207439">
      <w:pPr>
        <w:pStyle w:val="304"/>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45A84BC9">
      <w:pPr>
        <w:pStyle w:val="304"/>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8.17.2 </w:t>
      </w:r>
      <w:r>
        <w:rPr>
          <w:rFonts w:hint="default" w:ascii="Arial" w:hAnsi="Arial" w:cs="Arial"/>
          <w:b/>
          <w:bCs/>
          <w:sz w:val="18"/>
          <w:szCs w:val="18"/>
        </w:rPr>
        <w:t>atualização de documentos cuja validade tenha expirado após a data de recebimento das propostas;</w:t>
      </w:r>
    </w:p>
    <w:p w14:paraId="35D05CF2">
      <w:pPr>
        <w:pStyle w:val="303"/>
        <w:numPr>
          <w:ilvl w:val="0"/>
          <w:numId w:val="0"/>
        </w:numPr>
        <w:tabs>
          <w:tab w:val="left" w:pos="993"/>
        </w:tabs>
        <w:spacing w:before="0" w:after="0" w:line="360" w:lineRule="auto"/>
        <w:ind w:leftChars="0"/>
        <w:rPr>
          <w:rFonts w:hint="default" w:ascii="Arial" w:hAnsi="Arial" w:cs="Arial"/>
          <w:sz w:val="18"/>
          <w:szCs w:val="18"/>
        </w:rPr>
      </w:pPr>
      <w:bookmarkStart w:id="23" w:name="_Ref114670319"/>
      <w:bookmarkEnd w:id="23"/>
      <w:r>
        <w:rPr>
          <w:rFonts w:hint="default" w:ascii="Arial" w:hAnsi="Arial" w:cs="Arial"/>
          <w:sz w:val="18"/>
          <w:szCs w:val="18"/>
          <w:lang w:val="pt-BR"/>
        </w:rPr>
        <w:t xml:space="preserve">8.18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08F107ED">
      <w:pPr>
        <w:pStyle w:val="303"/>
        <w:numPr>
          <w:ilvl w:val="0"/>
          <w:numId w:val="0"/>
        </w:numPr>
        <w:tabs>
          <w:tab w:val="left" w:pos="993"/>
        </w:tabs>
        <w:spacing w:before="0" w:after="0" w:line="360" w:lineRule="auto"/>
        <w:ind w:leftChars="0"/>
        <w:rPr>
          <w:rFonts w:ascii="Arial" w:hAnsi="Arial" w:cs="Arial"/>
          <w:bCs/>
          <w:sz w:val="18"/>
          <w:szCs w:val="18"/>
        </w:rPr>
      </w:pPr>
      <w:r>
        <w:rPr>
          <w:rFonts w:hint="default" w:cs="Arial"/>
          <w:bCs/>
          <w:sz w:val="18"/>
          <w:szCs w:val="18"/>
          <w:lang w:val="pt-BR"/>
        </w:rPr>
        <w:t xml:space="preserve">8.19 </w:t>
      </w:r>
      <w:r>
        <w:rPr>
          <w:rFonts w:ascii="Arial" w:hAnsi="Arial" w:cs="Arial"/>
          <w:bCs/>
          <w:sz w:val="18"/>
          <w:szCs w:val="18"/>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3BF1F41">
      <w:pPr>
        <w:pStyle w:val="303"/>
        <w:numPr>
          <w:ilvl w:val="0"/>
          <w:numId w:val="0"/>
        </w:numPr>
        <w:tabs>
          <w:tab w:val="left" w:pos="993"/>
        </w:tabs>
        <w:spacing w:before="0" w:after="0" w:line="360" w:lineRule="auto"/>
        <w:ind w:leftChars="0"/>
        <w:rPr>
          <w:rFonts w:hint="default" w:ascii="Arial" w:hAnsi="Arial" w:cs="Arial"/>
          <w:bCs/>
          <w:sz w:val="18"/>
          <w:szCs w:val="18"/>
        </w:rPr>
      </w:pPr>
      <w:r>
        <w:rPr>
          <w:rFonts w:hint="default" w:cs="Arial"/>
          <w:bCs/>
          <w:sz w:val="18"/>
          <w:szCs w:val="18"/>
          <w:lang w:val="pt-BR"/>
        </w:rPr>
        <w:t>8.20 O</w:t>
      </w:r>
      <w:r>
        <w:rPr>
          <w:rFonts w:ascii="Arial" w:hAnsi="Arial" w:cs="Arial" w:eastAsiaTheme="minorHAnsi"/>
          <w:bCs/>
          <w:sz w:val="18"/>
          <w:szCs w:val="18"/>
        </w:rPr>
        <w:t>s documentos que não possuírem prazo de vigência estabelecido pelo órgão expedidor</w:t>
      </w:r>
      <w:r>
        <w:rPr>
          <w:rFonts w:hint="default" w:ascii="Arial" w:hAnsi="Arial" w:cs="Arial" w:eastAsiaTheme="minorHAnsi"/>
          <w:bCs/>
          <w:sz w:val="18"/>
          <w:szCs w:val="18"/>
          <w:lang w:val="pt-BR"/>
        </w:rPr>
        <w:t xml:space="preserve"> será considerado a vigência de 90 (n</w:t>
      </w:r>
      <w:r>
        <w:rPr>
          <w:rFonts w:ascii="Arial" w:hAnsi="Arial" w:cs="Arial" w:eastAsiaTheme="minorHAnsi"/>
          <w:bCs/>
          <w:sz w:val="18"/>
          <w:szCs w:val="18"/>
        </w:rPr>
        <w:t xml:space="preserve">oventa) dias </w:t>
      </w:r>
      <w:r>
        <w:rPr>
          <w:rFonts w:hint="default" w:ascii="Arial" w:hAnsi="Arial" w:cs="Arial" w:eastAsiaTheme="minorHAnsi"/>
          <w:bCs/>
          <w:sz w:val="18"/>
          <w:szCs w:val="18"/>
          <w:lang w:val="pt-BR"/>
        </w:rPr>
        <w:t>a partir da emissão do documento</w:t>
      </w:r>
      <w:r>
        <w:rPr>
          <w:rFonts w:ascii="Arial" w:hAnsi="Arial" w:cs="Arial" w:eastAsiaTheme="minorHAnsi"/>
          <w:bCs/>
          <w:sz w:val="18"/>
          <w:szCs w:val="18"/>
        </w:rPr>
        <w:t>, exceto atestados de capacidade técnica, se exigidos;</w:t>
      </w:r>
    </w:p>
    <w:p w14:paraId="4C500BA2">
      <w:pPr>
        <w:pStyle w:val="303"/>
        <w:numPr>
          <w:ilvl w:val="0"/>
          <w:numId w:val="0"/>
        </w:numPr>
        <w:tabs>
          <w:tab w:val="left" w:pos="993"/>
        </w:tabs>
        <w:spacing w:before="0" w:after="0" w:line="360" w:lineRule="auto"/>
        <w:ind w:leftChars="0"/>
        <w:rPr>
          <w:rFonts w:hint="default" w:ascii="Arial" w:hAnsi="Arial" w:cs="Arial" w:eastAsiaTheme="minorHAnsi"/>
          <w:bCs/>
          <w:sz w:val="18"/>
          <w:szCs w:val="18"/>
          <w:lang w:val="pt-BR"/>
        </w:rPr>
      </w:pPr>
      <w:bookmarkStart w:id="24" w:name="_Ref114665528"/>
      <w:bookmarkEnd w:id="24"/>
      <w:r>
        <w:rPr>
          <w:rFonts w:hint="default" w:cs="Arial"/>
          <w:bCs/>
          <w:sz w:val="18"/>
          <w:szCs w:val="18"/>
          <w:lang w:val="pt-BR"/>
        </w:rPr>
        <w:t xml:space="preserve">8.21 </w:t>
      </w:r>
      <w:r>
        <w:rPr>
          <w:rFonts w:ascii="Arial" w:hAnsi="Arial" w:cs="Arial"/>
          <w:bCs/>
          <w:sz w:val="18"/>
          <w:szCs w:val="18"/>
        </w:rPr>
        <w:t>Os documentos não poderão ser substituídos por qualquer tipo de protocolo.</w:t>
      </w:r>
    </w:p>
    <w:p w14:paraId="4BD183ED">
      <w:pPr>
        <w:pStyle w:val="303"/>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8.</w:t>
      </w:r>
      <w:r>
        <w:rPr>
          <w:rFonts w:hint="default" w:cs="Arial"/>
          <w:sz w:val="18"/>
          <w:szCs w:val="18"/>
          <w:lang w:val="pt-BR"/>
        </w:rPr>
        <w:t>22</w:t>
      </w:r>
      <w:r>
        <w:rPr>
          <w:rFonts w:hint="default" w:ascii="Arial" w:hAnsi="Arial" w:cs="Arial"/>
          <w:sz w:val="18"/>
          <w:szCs w:val="18"/>
          <w:lang w:val="pt-BR"/>
        </w:rPr>
        <w:t xml:space="preserve">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1629F2E0">
      <w:pPr>
        <w:pStyle w:val="303"/>
        <w:numPr>
          <w:ilvl w:val="0"/>
          <w:numId w:val="0"/>
        </w:numPr>
        <w:tabs>
          <w:tab w:val="left" w:pos="993"/>
        </w:tabs>
        <w:spacing w:before="0" w:after="0" w:line="360" w:lineRule="auto"/>
        <w:ind w:leftChars="0"/>
        <w:rPr>
          <w:rFonts w:hint="default" w:ascii="Arial" w:hAnsi="Arial" w:cs="Arial"/>
          <w:i/>
          <w:sz w:val="18"/>
          <w:szCs w:val="18"/>
        </w:rPr>
      </w:pPr>
      <w:bookmarkStart w:id="25" w:name="_Ref114665515"/>
      <w:bookmarkEnd w:id="25"/>
      <w:r>
        <w:rPr>
          <w:rFonts w:hint="default" w:ascii="Arial" w:hAnsi="Arial" w:cs="Arial"/>
          <w:sz w:val="18"/>
          <w:szCs w:val="18"/>
          <w:lang w:val="pt-BR"/>
        </w:rPr>
        <w:t>8.2</w:t>
      </w:r>
      <w:r>
        <w:rPr>
          <w:rFonts w:hint="default" w:cs="Arial"/>
          <w:sz w:val="18"/>
          <w:szCs w:val="18"/>
          <w:lang w:val="pt-BR"/>
        </w:rPr>
        <w:t>3</w:t>
      </w:r>
      <w:r>
        <w:rPr>
          <w:rFonts w:hint="default" w:ascii="Arial" w:hAnsi="Arial" w:cs="Arial"/>
          <w:sz w:val="18"/>
          <w:szCs w:val="18"/>
          <w:lang w:val="pt-BR"/>
        </w:rPr>
        <w:t xml:space="preserve">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277BCF30">
      <w:pPr>
        <w:pStyle w:val="303"/>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8.2</w:t>
      </w:r>
      <w:r>
        <w:rPr>
          <w:rFonts w:hint="default" w:cs="Arial"/>
          <w:sz w:val="18"/>
          <w:szCs w:val="18"/>
          <w:lang w:val="pt-BR"/>
        </w:rPr>
        <w:t>4</w:t>
      </w:r>
      <w:r>
        <w:rPr>
          <w:rFonts w:hint="default" w:ascii="Arial" w:hAnsi="Arial" w:cs="Arial"/>
          <w:sz w:val="18"/>
          <w:szCs w:val="18"/>
          <w:lang w:val="pt-BR"/>
        </w:rPr>
        <w:t xml:space="preserve">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4"/>
          <w:rFonts w:hint="default" w:ascii="Arial" w:hAnsi="Arial" w:cs="Arial"/>
          <w:sz w:val="18"/>
          <w:szCs w:val="18"/>
        </w:rPr>
        <w:t>art. 4º do Decreto nº 8.538/2015</w:t>
      </w:r>
      <w:r>
        <w:rPr>
          <w:rStyle w:val="324"/>
          <w:rFonts w:hint="default" w:ascii="Arial" w:hAnsi="Arial" w:cs="Arial"/>
          <w:sz w:val="18"/>
          <w:szCs w:val="18"/>
        </w:rPr>
        <w:fldChar w:fldCharType="end"/>
      </w:r>
      <w:r>
        <w:rPr>
          <w:rFonts w:hint="default" w:ascii="Arial" w:hAnsi="Arial" w:cs="Arial"/>
          <w:sz w:val="18"/>
          <w:szCs w:val="18"/>
        </w:rPr>
        <w:t>).</w:t>
      </w:r>
    </w:p>
    <w:p w14:paraId="553D1585">
      <w:pPr>
        <w:pStyle w:val="303"/>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8.2</w:t>
      </w:r>
      <w:r>
        <w:rPr>
          <w:rFonts w:hint="default" w:cs="Arial"/>
          <w:sz w:val="18"/>
          <w:szCs w:val="18"/>
          <w:lang w:val="pt-BR"/>
        </w:rPr>
        <w:t>5</w:t>
      </w:r>
      <w:r>
        <w:rPr>
          <w:rFonts w:hint="default" w:ascii="Arial" w:hAnsi="Arial" w:cs="Arial"/>
          <w:sz w:val="18"/>
          <w:szCs w:val="18"/>
          <w:lang w:val="pt-BR"/>
        </w:rPr>
        <w:t xml:space="preserve">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30325AE6">
      <w:pPr>
        <w:pStyle w:val="303"/>
        <w:numPr>
          <w:ilvl w:val="0"/>
          <w:numId w:val="0"/>
        </w:numPr>
        <w:tabs>
          <w:tab w:val="left" w:pos="993"/>
        </w:tabs>
        <w:spacing w:before="0" w:after="0" w:line="360" w:lineRule="auto"/>
        <w:ind w:leftChars="0"/>
        <w:rPr>
          <w:rFonts w:hint="default" w:ascii="Arial" w:hAnsi="Arial" w:cs="Arial"/>
          <w:sz w:val="18"/>
          <w:szCs w:val="18"/>
          <w:u w:val="single"/>
          <w:lang w:val="pt-BR"/>
        </w:rPr>
      </w:pPr>
      <w:r>
        <w:rPr>
          <w:rFonts w:hint="default" w:ascii="Arial" w:hAnsi="Arial" w:cs="Arial"/>
          <w:sz w:val="18"/>
          <w:szCs w:val="18"/>
          <w:u w:val="single"/>
          <w:lang w:val="pt-BR"/>
        </w:rPr>
        <w:t>8.2</w:t>
      </w:r>
      <w:r>
        <w:rPr>
          <w:rFonts w:hint="default" w:cs="Arial"/>
          <w:sz w:val="18"/>
          <w:szCs w:val="18"/>
          <w:u w:val="single"/>
          <w:lang w:val="pt-BR"/>
        </w:rPr>
        <w:t>6</w:t>
      </w:r>
      <w:r>
        <w:rPr>
          <w:rFonts w:hint="default" w:ascii="Arial" w:hAnsi="Arial" w:cs="Arial"/>
          <w:sz w:val="18"/>
          <w:szCs w:val="18"/>
          <w:u w:val="single"/>
          <w:lang w:val="pt-BR"/>
        </w:rPr>
        <w:t xml:space="preserve"> Na hipótese de desclassificação de todas as propostas, o Pregoeiro poderá fixar às licitantes, respeitando a ordem de classificação, o prazo de 8 (oito) dias úteis para apresentação de documentos exigidos, corrigido das causas de sua desclassificação.</w:t>
      </w:r>
    </w:p>
    <w:p w14:paraId="75758688">
      <w:pPr>
        <w:pStyle w:val="303"/>
        <w:numPr>
          <w:ilvl w:val="0"/>
          <w:numId w:val="0"/>
        </w:numPr>
        <w:tabs>
          <w:tab w:val="left" w:pos="993"/>
        </w:tabs>
        <w:spacing w:before="0" w:after="0" w:line="240" w:lineRule="auto"/>
        <w:ind w:leftChars="0"/>
        <w:rPr>
          <w:rFonts w:hint="default" w:ascii="Arial" w:hAnsi="Arial" w:cs="Arial"/>
          <w:iCs/>
          <w:sz w:val="18"/>
          <w:szCs w:val="18"/>
          <w:lang w:val="pt-BR"/>
        </w:rPr>
      </w:pPr>
    </w:p>
    <w:p w14:paraId="4AF084CE">
      <w:pPr>
        <w:pStyle w:val="278"/>
        <w:widowControl w:val="0"/>
        <w:numPr>
          <w:ilvl w:val="0"/>
          <w:numId w:val="12"/>
        </w:numPr>
        <w:tabs>
          <w:tab w:val="clear" w:pos="567"/>
        </w:tabs>
        <w:autoSpaceDN w:val="0"/>
        <w:spacing w:before="0" w:line="360" w:lineRule="auto"/>
        <w:ind w:left="426" w:hanging="426"/>
        <w:rPr>
          <w:rFonts w:hint="default" w:ascii="Arial" w:hAnsi="Arial" w:cs="Arial"/>
          <w:sz w:val="18"/>
          <w:szCs w:val="18"/>
        </w:rPr>
      </w:pPr>
      <w:bookmarkStart w:id="26" w:name="_Toc122606110"/>
      <w:bookmarkEnd w:id="26"/>
      <w:r>
        <w:rPr>
          <w:rFonts w:hint="default" w:ascii="Arial" w:hAnsi="Arial" w:cs="Arial"/>
          <w:sz w:val="18"/>
          <w:szCs w:val="18"/>
        </w:rPr>
        <w:t>DOS RECURSOS</w:t>
      </w:r>
    </w:p>
    <w:p w14:paraId="5067ECE4">
      <w:pPr>
        <w:pStyle w:val="303"/>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4"/>
          <w:rFonts w:hint="default" w:ascii="Arial" w:hAnsi="Arial" w:cs="Arial"/>
          <w:sz w:val="18"/>
          <w:szCs w:val="18"/>
        </w:rPr>
        <w:t>art. 165 da Lei nº 14.133, de 2021</w:t>
      </w:r>
      <w:r>
        <w:rPr>
          <w:rStyle w:val="324"/>
          <w:rFonts w:hint="default" w:ascii="Arial" w:hAnsi="Arial" w:cs="Arial"/>
          <w:sz w:val="18"/>
          <w:szCs w:val="18"/>
        </w:rPr>
        <w:fldChar w:fldCharType="end"/>
      </w:r>
      <w:r>
        <w:rPr>
          <w:rFonts w:hint="default" w:ascii="Arial" w:hAnsi="Arial" w:cs="Arial"/>
          <w:sz w:val="18"/>
          <w:szCs w:val="18"/>
        </w:rPr>
        <w:t>.</w:t>
      </w:r>
    </w:p>
    <w:p w14:paraId="4070C5EE">
      <w:pPr>
        <w:pStyle w:val="303"/>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123C0DDF">
      <w:pPr>
        <w:pStyle w:val="303"/>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6D618EC6">
      <w:pPr>
        <w:pStyle w:val="304"/>
        <w:numPr>
          <w:ilvl w:val="2"/>
          <w:numId w:val="13"/>
        </w:numPr>
        <w:spacing w:before="0" w:after="0" w:line="360" w:lineRule="auto"/>
        <w:ind w:left="0" w:firstLine="0"/>
        <w:rPr>
          <w:rFonts w:hint="default" w:ascii="Arial" w:hAnsi="Arial" w:cs="Arial"/>
          <w:sz w:val="18"/>
          <w:szCs w:val="18"/>
        </w:rPr>
      </w:pPr>
      <w:r>
        <w:rPr>
          <w:rFonts w:hint="default" w:ascii="Arial" w:hAnsi="Arial" w:cs="Arial"/>
          <w:sz w:val="18"/>
          <w:szCs w:val="18"/>
          <w:lang w:val="pt-BR"/>
        </w:rPr>
        <w:t>A</w:t>
      </w:r>
      <w:r>
        <w:rPr>
          <w:rFonts w:hint="default" w:ascii="Arial" w:hAnsi="Arial" w:cs="Arial"/>
          <w:sz w:val="18"/>
          <w:szCs w:val="18"/>
        </w:rPr>
        <w:t xml:space="preserve"> intenção de recorrer deverá ser manifestada imediatamente, sob pena de preclusão;</w:t>
      </w:r>
    </w:p>
    <w:p w14:paraId="20536ADE">
      <w:pPr>
        <w:pStyle w:val="304"/>
        <w:numPr>
          <w:ilvl w:val="3"/>
          <w:numId w:val="14"/>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58E00745">
      <w:pPr>
        <w:numPr>
          <w:ilvl w:val="3"/>
          <w:numId w:val="14"/>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o agente de contratação examinará a aceitabilidade do recurso na sessão, podendo: </w:t>
      </w:r>
    </w:p>
    <w:p w14:paraId="28084BEC">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DF51E85">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39446F91">
      <w:pPr>
        <w:spacing w:line="360" w:lineRule="auto"/>
        <w:jc w:val="both"/>
        <w:rPr>
          <w:rFonts w:hint="default" w:ascii="Arial" w:hAnsi="Arial" w:cs="Arial"/>
          <w:sz w:val="18"/>
          <w:szCs w:val="18"/>
        </w:rPr>
      </w:pPr>
      <w:r>
        <w:rPr>
          <w:rFonts w:hint="default" w:ascii="Arial" w:hAnsi="Arial" w:cs="Arial"/>
          <w:sz w:val="18"/>
          <w:szCs w:val="18"/>
        </w:rPr>
        <w:t xml:space="preserve">2. </w:t>
      </w:r>
      <w:r>
        <w:rPr>
          <w:rFonts w:hint="default" w:ascii="Arial" w:hAnsi="Arial" w:cs="Arial"/>
          <w:sz w:val="18"/>
          <w:szCs w:val="18"/>
          <w:lang w:val="pt-BR"/>
        </w:rPr>
        <w:t>A</w:t>
      </w:r>
      <w:r>
        <w:rPr>
          <w:rFonts w:hint="default" w:ascii="Arial" w:hAnsi="Arial" w:cs="Arial"/>
          <w:sz w:val="18"/>
          <w:szCs w:val="18"/>
        </w:rPr>
        <w:t>usentes os requisitos de admissibilidade do recurso, quais sejam: sucumbência, tempestividade, legitimidade, interesse e motivação.</w:t>
      </w:r>
    </w:p>
    <w:p w14:paraId="01AEB360">
      <w:pPr>
        <w:spacing w:line="360" w:lineRule="auto"/>
        <w:jc w:val="both"/>
        <w:rPr>
          <w:rFonts w:hint="default" w:ascii="Arial" w:hAnsi="Arial" w:cs="Arial"/>
          <w:sz w:val="18"/>
          <w:szCs w:val="18"/>
        </w:rPr>
      </w:pPr>
      <w:r>
        <w:rPr>
          <w:rFonts w:hint="default" w:ascii="Arial" w:hAnsi="Arial" w:cs="Arial"/>
          <w:sz w:val="18"/>
          <w:szCs w:val="18"/>
        </w:rPr>
        <w:t xml:space="preserve">b) </w:t>
      </w:r>
      <w:r>
        <w:rPr>
          <w:rFonts w:hint="default" w:ascii="Arial" w:hAnsi="Arial" w:cs="Arial"/>
          <w:sz w:val="18"/>
          <w:szCs w:val="18"/>
          <w:lang w:val="pt-BR"/>
        </w:rPr>
        <w:t>R</w:t>
      </w:r>
      <w:r>
        <w:rPr>
          <w:rFonts w:hint="default" w:ascii="Arial" w:hAnsi="Arial" w:cs="Arial"/>
          <w:sz w:val="18"/>
          <w:szCs w:val="18"/>
        </w:rPr>
        <w:t xml:space="preserve">ever a decisão questionada, praticando os atos necessários; </w:t>
      </w:r>
    </w:p>
    <w:p w14:paraId="153CF79C">
      <w:pPr>
        <w:spacing w:line="360" w:lineRule="auto"/>
        <w:jc w:val="both"/>
        <w:rPr>
          <w:rFonts w:hint="default" w:ascii="Arial" w:hAnsi="Arial" w:cs="Arial"/>
          <w:sz w:val="18"/>
          <w:szCs w:val="18"/>
        </w:rPr>
      </w:pPr>
      <w:r>
        <w:rPr>
          <w:rFonts w:hint="default" w:ascii="Arial" w:hAnsi="Arial" w:cs="Arial"/>
          <w:sz w:val="18"/>
          <w:szCs w:val="18"/>
        </w:rPr>
        <w:t xml:space="preserve">c) </w:t>
      </w:r>
      <w:r>
        <w:rPr>
          <w:rFonts w:hint="default" w:ascii="Arial" w:hAnsi="Arial" w:cs="Arial"/>
          <w:sz w:val="18"/>
          <w:szCs w:val="18"/>
          <w:lang w:val="pt-BR"/>
        </w:rPr>
        <w:t>R</w:t>
      </w:r>
      <w:r>
        <w:rPr>
          <w:rFonts w:hint="default" w:ascii="Arial" w:hAnsi="Arial" w:cs="Arial"/>
          <w:sz w:val="18"/>
          <w:szCs w:val="18"/>
        </w:rPr>
        <w:t>eceber o recurso, encaminhando-o para decisão após o fim do prazo para apresentação das razões e contrarrazões recursais.</w:t>
      </w:r>
    </w:p>
    <w:p w14:paraId="756C9AF9">
      <w:pPr>
        <w:pStyle w:val="304"/>
        <w:numPr>
          <w:ilvl w:val="2"/>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prazo para apresentação das razões recursais será iniciado na data de intimação ou de lavratura da ata de habilitação ou inabilitação;</w:t>
      </w:r>
    </w:p>
    <w:p w14:paraId="4A285779">
      <w:pPr>
        <w:pStyle w:val="304"/>
        <w:numPr>
          <w:ilvl w:val="2"/>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w:t>
      </w:r>
      <w:r>
        <w:rPr>
          <w:rFonts w:hint="default" w:ascii="Arial" w:hAnsi="Arial" w:cs="Arial"/>
          <w:sz w:val="18"/>
          <w:szCs w:val="18"/>
        </w:rPr>
        <w:t xml:space="preserve">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4"/>
          <w:rFonts w:hint="default" w:ascii="Arial" w:hAnsi="Arial" w:cs="Arial"/>
          <w:sz w:val="18"/>
          <w:szCs w:val="18"/>
        </w:rPr>
        <w:t>§ 1º do art. 17 da Lei nº 14.133, de 2021</w:t>
      </w:r>
      <w:r>
        <w:rPr>
          <w:rStyle w:val="324"/>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50C994E5">
      <w:pPr>
        <w:pStyle w:val="303"/>
        <w:numPr>
          <w:ilvl w:val="1"/>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0CEDA506">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2D52EB">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recursos interpostos fora do prazo não serão conhecidos. </w:t>
      </w:r>
    </w:p>
    <w:p w14:paraId="6F618141">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1D800C">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77E60B5C">
      <w:pPr>
        <w:pStyle w:val="303"/>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acolhimento do recurso invalida tão somente os atos insuscetíveis de aproveitamento. </w:t>
      </w:r>
    </w:p>
    <w:p w14:paraId="121355DC">
      <w:pPr>
        <w:pStyle w:val="303"/>
        <w:numPr>
          <w:ilvl w:val="1"/>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11"/>
          <w:rFonts w:hint="default" w:ascii="Arial" w:hAnsi="Arial" w:cs="Arial"/>
          <w:sz w:val="18"/>
          <w:szCs w:val="18"/>
        </w:rPr>
        <w:t>www.cataguases.mg.gov.br</w:t>
      </w:r>
      <w:r>
        <w:rPr>
          <w:rStyle w:val="11"/>
          <w:rFonts w:hint="default" w:ascii="Arial" w:hAnsi="Arial" w:cs="Arial"/>
          <w:sz w:val="18"/>
          <w:szCs w:val="18"/>
        </w:rPr>
        <w:fldChar w:fldCharType="end"/>
      </w:r>
      <w:r>
        <w:rPr>
          <w:rFonts w:hint="default" w:ascii="Arial" w:hAnsi="Arial" w:cs="Arial"/>
          <w:sz w:val="18"/>
          <w:szCs w:val="18"/>
        </w:rPr>
        <w:t>.</w:t>
      </w:r>
    </w:p>
    <w:p w14:paraId="7C84D15E">
      <w:pPr>
        <w:pStyle w:val="303"/>
        <w:tabs>
          <w:tab w:val="left" w:pos="993"/>
        </w:tabs>
        <w:spacing w:before="0" w:after="0" w:line="360" w:lineRule="auto"/>
        <w:rPr>
          <w:rFonts w:hint="default" w:ascii="Arial" w:hAnsi="Arial" w:cs="Arial"/>
          <w:sz w:val="18"/>
          <w:szCs w:val="18"/>
        </w:rPr>
      </w:pPr>
    </w:p>
    <w:p w14:paraId="7E5DE3FF">
      <w:pPr>
        <w:pStyle w:val="278"/>
        <w:numPr>
          <w:ilvl w:val="0"/>
          <w:numId w:val="13"/>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7D3C626F">
      <w:pPr>
        <w:pStyle w:val="278"/>
        <w:numPr>
          <w:ilvl w:val="1"/>
          <w:numId w:val="15"/>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0D960963">
      <w:pPr>
        <w:tabs>
          <w:tab w:val="left" w:pos="567"/>
        </w:tabs>
        <w:rPr>
          <w:rFonts w:hint="default" w:ascii="Arial" w:hAnsi="Arial" w:cs="Arial"/>
          <w:sz w:val="18"/>
          <w:szCs w:val="18"/>
        </w:rPr>
      </w:pPr>
      <w:r>
        <w:rPr>
          <w:rFonts w:hint="default" w:ascii="Arial" w:hAnsi="Arial" w:cs="Arial"/>
          <w:sz w:val="18"/>
          <w:szCs w:val="18"/>
        </w:rPr>
        <w:t xml:space="preserve"> </w:t>
      </w:r>
    </w:p>
    <w:p w14:paraId="13915D17">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4CA0D173">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0A4DC172">
      <w:pPr>
        <w:tabs>
          <w:tab w:val="left" w:pos="567"/>
        </w:tabs>
        <w:jc w:val="both"/>
        <w:rPr>
          <w:rFonts w:hint="default" w:ascii="Arial" w:hAnsi="Arial" w:cs="Arial"/>
          <w:sz w:val="18"/>
          <w:szCs w:val="18"/>
        </w:rPr>
      </w:pPr>
    </w:p>
    <w:p w14:paraId="6CCD9262">
      <w:pPr>
        <w:pStyle w:val="220"/>
        <w:numPr>
          <w:ilvl w:val="0"/>
          <w:numId w:val="16"/>
        </w:numPr>
        <w:tabs>
          <w:tab w:val="left" w:pos="567"/>
        </w:tabs>
        <w:spacing w:line="360" w:lineRule="auto"/>
        <w:ind w:left="0" w:firstLine="0"/>
        <w:rPr>
          <w:rFonts w:hint="default" w:ascii="Arial" w:hAnsi="Arial" w:cs="Arial"/>
          <w:b/>
          <w:sz w:val="18"/>
          <w:szCs w:val="18"/>
        </w:rPr>
      </w:pPr>
      <w:r>
        <w:rPr>
          <w:rFonts w:hint="default" w:ascii="Arial" w:hAnsi="Arial" w:cs="Arial"/>
          <w:b/>
          <w:sz w:val="18"/>
          <w:szCs w:val="18"/>
        </w:rPr>
        <w:t>DA ATA DE REGISTRO DE PREÇOS</w:t>
      </w:r>
    </w:p>
    <w:p w14:paraId="0692BC77">
      <w:pPr>
        <w:pStyle w:val="220"/>
        <w:numPr>
          <w:ilvl w:val="1"/>
          <w:numId w:val="16"/>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47D69FFF">
      <w:pPr>
        <w:pStyle w:val="220"/>
        <w:numPr>
          <w:ilvl w:val="1"/>
          <w:numId w:val="16"/>
        </w:numPr>
        <w:tabs>
          <w:tab w:val="left" w:pos="0"/>
        </w:tabs>
        <w:spacing w:line="360" w:lineRule="auto"/>
        <w:ind w:left="0" w:firstLine="0"/>
        <w:jc w:val="both"/>
        <w:rPr>
          <w:rFonts w:hint="default" w:ascii="Arial" w:hAnsi="Arial" w:cs="Arial"/>
          <w:b/>
          <w:sz w:val="18"/>
          <w:szCs w:val="18"/>
        </w:rPr>
      </w:pPr>
      <w:r>
        <w:rPr>
          <w:rFonts w:hint="default" w:ascii="Arial" w:hAnsi="Arial" w:cs="Arial"/>
          <w:sz w:val="18"/>
          <w:szCs w:val="18"/>
        </w:rPr>
        <w:t>O prazo de convocação poderá ser prorrogado uma vez, por igual período, mediante solicitação do licitante mais bem classificado ou do fornecedor convocado, desde que:</w:t>
      </w:r>
    </w:p>
    <w:p w14:paraId="0666B065">
      <w:pPr>
        <w:pStyle w:val="303"/>
        <w:tabs>
          <w:tab w:val="left" w:pos="0"/>
        </w:tabs>
        <w:spacing w:before="0" w:after="0" w:line="360" w:lineRule="auto"/>
        <w:rPr>
          <w:rFonts w:hint="default" w:ascii="Arial" w:hAnsi="Arial" w:cs="Arial"/>
          <w:iCs/>
          <w:sz w:val="18"/>
          <w:szCs w:val="18"/>
        </w:rPr>
      </w:pPr>
      <w:r>
        <w:rPr>
          <w:rFonts w:hint="default" w:ascii="Arial" w:hAnsi="Arial" w:cs="Arial"/>
          <w:iCs/>
          <w:sz w:val="18"/>
          <w:szCs w:val="18"/>
        </w:rPr>
        <w:t>(a) a solicitação seja devidamente justificada e apresentada dentro do prazo; e</w:t>
      </w:r>
    </w:p>
    <w:p w14:paraId="47451495">
      <w:pPr>
        <w:pStyle w:val="303"/>
        <w:tabs>
          <w:tab w:val="left" w:pos="0"/>
        </w:tabs>
        <w:spacing w:before="0" w:after="0" w:line="360" w:lineRule="auto"/>
        <w:rPr>
          <w:rFonts w:hint="default" w:ascii="Arial" w:hAnsi="Arial" w:cs="Arial"/>
          <w:iCs/>
          <w:sz w:val="18"/>
          <w:szCs w:val="18"/>
        </w:rPr>
      </w:pPr>
      <w:r>
        <w:rPr>
          <w:rFonts w:hint="default" w:ascii="Arial" w:hAnsi="Arial" w:cs="Arial"/>
          <w:iCs/>
          <w:sz w:val="18"/>
          <w:szCs w:val="18"/>
        </w:rPr>
        <w:t>(b) a justificativa apresentada seja aceita pela Administração.</w:t>
      </w:r>
    </w:p>
    <w:p w14:paraId="1C0E39F3">
      <w:pPr>
        <w:pStyle w:val="303"/>
        <w:numPr>
          <w:ilvl w:val="1"/>
          <w:numId w:val="16"/>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A ata de registro de preços será preferencialmente assinada por meio de assinatura digital e disponibilizada no sistema de registro de preços.</w:t>
      </w:r>
    </w:p>
    <w:p w14:paraId="0897A6DD">
      <w:pPr>
        <w:pStyle w:val="303"/>
        <w:numPr>
          <w:ilvl w:val="1"/>
          <w:numId w:val="16"/>
        </w:numPr>
        <w:tabs>
          <w:tab w:val="left" w:pos="0"/>
        </w:tabs>
        <w:spacing w:before="0" w:after="0" w:line="360" w:lineRule="auto"/>
        <w:ind w:left="0" w:firstLine="0"/>
        <w:rPr>
          <w:rFonts w:hint="default" w:ascii="Arial" w:hAnsi="Arial" w:cs="Arial"/>
          <w:iCs/>
          <w:sz w:val="18"/>
          <w:szCs w:val="18"/>
        </w:rPr>
      </w:pPr>
      <w:r>
        <w:rPr>
          <w:rFonts w:hint="default" w:ascii="Arial" w:hAnsi="Arial" w:cs="Arial"/>
          <w:sz w:val="18"/>
          <w:szCs w:val="18"/>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274AD96">
      <w:pPr>
        <w:pStyle w:val="303"/>
        <w:numPr>
          <w:ilvl w:val="1"/>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O preço registrado, com a indicação dos fornecedores, será divulgado no PNCP e disponibilizado durante a vigência da ata de registro de preços.</w:t>
      </w:r>
    </w:p>
    <w:p w14:paraId="338F428A">
      <w:pPr>
        <w:pStyle w:val="303"/>
        <w:numPr>
          <w:ilvl w:val="1"/>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4ACFC2A">
      <w:pPr>
        <w:pStyle w:val="303"/>
        <w:numPr>
          <w:ilvl w:val="1"/>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7661A76">
      <w:pPr>
        <w:pStyle w:val="303"/>
        <w:tabs>
          <w:tab w:val="left" w:pos="0"/>
        </w:tabs>
        <w:suppressAutoHyphens w:val="0"/>
        <w:spacing w:before="0" w:after="0" w:line="240" w:lineRule="auto"/>
        <w:rPr>
          <w:rFonts w:hint="default" w:ascii="Arial" w:hAnsi="Arial" w:cs="Arial"/>
          <w:sz w:val="18"/>
          <w:szCs w:val="18"/>
        </w:rPr>
      </w:pPr>
    </w:p>
    <w:p w14:paraId="3E0EFF75">
      <w:pPr>
        <w:pStyle w:val="278"/>
        <w:widowControl w:val="0"/>
        <w:numPr>
          <w:ilvl w:val="0"/>
          <w:numId w:val="16"/>
        </w:numPr>
        <w:tabs>
          <w:tab w:val="left" w:pos="0"/>
          <w:tab w:val="clear" w:pos="567"/>
        </w:tabs>
        <w:suppressAutoHyphens w:val="0"/>
        <w:spacing w:before="0" w:line="360" w:lineRule="auto"/>
        <w:ind w:left="0" w:firstLine="0"/>
        <w:rPr>
          <w:rFonts w:hint="default" w:ascii="Arial" w:hAnsi="Arial" w:cs="Arial"/>
          <w:sz w:val="18"/>
          <w:szCs w:val="18"/>
        </w:rPr>
      </w:pPr>
      <w:r>
        <w:rPr>
          <w:rFonts w:hint="default" w:ascii="Arial" w:hAnsi="Arial" w:cs="Arial"/>
          <w:sz w:val="18"/>
          <w:szCs w:val="18"/>
        </w:rPr>
        <w:t xml:space="preserve">DA FORMAÇÃO DO CADASTRO DE RESERVA </w:t>
      </w:r>
    </w:p>
    <w:p w14:paraId="528CA83B">
      <w:pPr>
        <w:pStyle w:val="278"/>
        <w:widowControl w:val="0"/>
        <w:numPr>
          <w:ilvl w:val="1"/>
          <w:numId w:val="16"/>
        </w:numPr>
        <w:tabs>
          <w:tab w:val="left" w:pos="0"/>
          <w:tab w:val="clear" w:pos="567"/>
        </w:tabs>
        <w:suppressAutoHyphens w:val="0"/>
        <w:spacing w:before="0" w:line="360" w:lineRule="auto"/>
        <w:ind w:left="0" w:firstLine="0"/>
        <w:rPr>
          <w:rFonts w:hint="default" w:ascii="Arial" w:hAnsi="Arial" w:cs="Arial"/>
          <w:b w:val="0"/>
          <w:sz w:val="18"/>
          <w:szCs w:val="18"/>
        </w:rPr>
      </w:pPr>
      <w:r>
        <w:rPr>
          <w:rFonts w:hint="default" w:ascii="Arial" w:hAnsi="Arial" w:cs="Arial"/>
          <w:b w:val="0"/>
          <w:sz w:val="18"/>
          <w:szCs w:val="18"/>
        </w:rPr>
        <w:t>Após a homologação da licitação, será incluído na ata, na forma de anexo, o registro:</w:t>
      </w:r>
    </w:p>
    <w:p w14:paraId="7D8ACDE4">
      <w:pPr>
        <w:pStyle w:val="304"/>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dos licitantes que aceitarem cotar o objeto com preço igual ao do adjudicatário, observada a classificação na licitação; e </w:t>
      </w:r>
    </w:p>
    <w:p w14:paraId="1BBB4BD5">
      <w:pPr>
        <w:pStyle w:val="304"/>
        <w:numPr>
          <w:ilvl w:val="2"/>
          <w:numId w:val="16"/>
        </w:numPr>
        <w:tabs>
          <w:tab w:val="left" w:pos="0"/>
        </w:tabs>
        <w:suppressAutoHyphens w:val="0"/>
        <w:spacing w:before="0" w:after="0" w:line="360" w:lineRule="auto"/>
        <w:ind w:left="0" w:firstLine="0"/>
        <w:rPr>
          <w:rFonts w:hint="default" w:ascii="Arial" w:hAnsi="Arial" w:cs="Arial"/>
          <w:iCs/>
          <w:sz w:val="18"/>
          <w:szCs w:val="18"/>
        </w:rPr>
      </w:pPr>
      <w:r>
        <w:rPr>
          <w:rFonts w:hint="default" w:ascii="Arial" w:hAnsi="Arial" w:cs="Arial"/>
          <w:sz w:val="18"/>
          <w:szCs w:val="18"/>
        </w:rPr>
        <w:t>dos licitantes que mantiverem sua proposta original</w:t>
      </w:r>
    </w:p>
    <w:p w14:paraId="04CC3E21">
      <w:pPr>
        <w:pStyle w:val="303"/>
        <w:numPr>
          <w:ilvl w:val="1"/>
          <w:numId w:val="16"/>
        </w:numPr>
        <w:tabs>
          <w:tab w:val="left" w:pos="0"/>
          <w:tab w:val="left" w:pos="567"/>
        </w:tabs>
        <w:suppressAutoHyphens w:val="0"/>
        <w:spacing w:before="0" w:after="0" w:line="360" w:lineRule="auto"/>
        <w:ind w:left="0" w:firstLine="0"/>
        <w:rPr>
          <w:rFonts w:hint="default" w:ascii="Arial" w:hAnsi="Arial" w:cs="Arial"/>
          <w:i/>
          <w:iCs/>
          <w:sz w:val="18"/>
          <w:szCs w:val="18"/>
        </w:rPr>
      </w:pPr>
      <w:r>
        <w:rPr>
          <w:rFonts w:hint="default" w:ascii="Arial" w:hAnsi="Arial" w:cs="Arial"/>
          <w:sz w:val="18"/>
          <w:szCs w:val="18"/>
        </w:rPr>
        <w:t xml:space="preserve">  Será respeitada, nas contratações, a ordem de classificação dos licitantes ou fornecedores registrados na ata.</w:t>
      </w:r>
    </w:p>
    <w:p w14:paraId="59CA1AE4">
      <w:pPr>
        <w:pStyle w:val="304"/>
        <w:numPr>
          <w:ilvl w:val="1"/>
          <w:numId w:val="16"/>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A apresentação de novas propostas na forma deste item não prejudicará o resultado do certame em relação ao licitante mais bem classificado.</w:t>
      </w:r>
    </w:p>
    <w:p w14:paraId="062C16D0">
      <w:pPr>
        <w:pStyle w:val="304"/>
        <w:numPr>
          <w:ilvl w:val="2"/>
          <w:numId w:val="16"/>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Para fins da ordem de classificação, os licitantes ou fornecedores que aceitarem cotar o objeto com preço igual ao do adjudicatário antecederão aqueles que mantiverem sua proposta original.</w:t>
      </w:r>
    </w:p>
    <w:p w14:paraId="231A61F6">
      <w:pPr>
        <w:pStyle w:val="303"/>
        <w:numPr>
          <w:ilvl w:val="1"/>
          <w:numId w:val="16"/>
        </w:numPr>
        <w:tabs>
          <w:tab w:val="left" w:pos="0"/>
        </w:tabs>
        <w:suppressAutoHyphens w:val="0"/>
        <w:spacing w:before="0" w:after="0" w:line="360" w:lineRule="auto"/>
        <w:ind w:left="0" w:firstLine="0"/>
        <w:rPr>
          <w:rFonts w:hint="default" w:ascii="Arial" w:hAnsi="Arial" w:cs="Arial"/>
          <w:color w:val="FF0000"/>
          <w:sz w:val="18"/>
          <w:szCs w:val="18"/>
        </w:rPr>
      </w:pPr>
      <w:r>
        <w:rPr>
          <w:rFonts w:hint="default" w:ascii="Arial" w:hAnsi="Arial" w:cs="Arial"/>
          <w:color w:val="FF0000"/>
          <w:sz w:val="18"/>
          <w:szCs w:val="18"/>
        </w:rPr>
        <w:t xml:space="preserve"> </w:t>
      </w:r>
      <w:r>
        <w:rPr>
          <w:rFonts w:hint="default" w:ascii="Arial" w:hAnsi="Arial" w:cs="Arial"/>
          <w:sz w:val="18"/>
          <w:szCs w:val="18"/>
        </w:rPr>
        <w:t>A habilitação dos licitantes que comporão o cadastro de reserva será efetuada quando houver necessidade de contratação dos licitantes remanescentes, nas seguintes hipóteses:</w:t>
      </w:r>
    </w:p>
    <w:p w14:paraId="0F9F6608">
      <w:pPr>
        <w:pStyle w:val="304"/>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quando o licitante vencedor não assinar a ata de registro de preços no prazo e nas condições estabelecidos no edital; ou</w:t>
      </w:r>
    </w:p>
    <w:p w14:paraId="479C9EB6">
      <w:pPr>
        <w:pStyle w:val="304"/>
        <w:numPr>
          <w:ilvl w:val="2"/>
          <w:numId w:val="16"/>
        </w:numPr>
        <w:tabs>
          <w:tab w:val="left" w:pos="0"/>
        </w:tabs>
        <w:suppressAutoHyphens w:val="0"/>
        <w:spacing w:before="0" w:after="0" w:line="360" w:lineRule="auto"/>
        <w:ind w:left="0" w:firstLine="0"/>
        <w:rPr>
          <w:rFonts w:hint="default" w:ascii="Arial" w:hAnsi="Arial" w:eastAsia="Times New Roman" w:cs="Arial"/>
          <w:sz w:val="18"/>
          <w:szCs w:val="18"/>
        </w:rPr>
      </w:pPr>
      <w:r>
        <w:rPr>
          <w:rFonts w:hint="default" w:ascii="Arial" w:hAnsi="Arial" w:cs="Arial"/>
          <w:sz w:val="18"/>
          <w:szCs w:val="18"/>
        </w:rPr>
        <w:t>quando houver o cancelamento do registro do fornecedor ou do registro de preços, nas hipóteses previstas nos art. 28 e art. 29 do Decreto nº 11.462/23.</w:t>
      </w:r>
    </w:p>
    <w:p w14:paraId="5BB4C9DD">
      <w:pPr>
        <w:pStyle w:val="303"/>
        <w:numPr>
          <w:ilvl w:val="1"/>
          <w:numId w:val="16"/>
        </w:numPr>
        <w:tabs>
          <w:tab w:val="left" w:pos="0"/>
        </w:tabs>
        <w:suppressAutoHyphens w:val="0"/>
        <w:spacing w:before="0" w:after="0" w:line="360" w:lineRule="auto"/>
        <w:ind w:left="0" w:firstLine="0"/>
        <w:rPr>
          <w:rFonts w:hint="default" w:ascii="Arial" w:hAnsi="Arial" w:eastAsia="MS Mincho" w:cs="Arial"/>
          <w:sz w:val="18"/>
          <w:szCs w:val="18"/>
        </w:rPr>
      </w:pPr>
      <w:r>
        <w:rPr>
          <w:rFonts w:hint="default" w:ascii="Arial" w:hAnsi="Arial" w:cs="Arial"/>
          <w:sz w:val="18"/>
          <w:szCs w:val="18"/>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19FE3A3F">
      <w:pPr>
        <w:pStyle w:val="304"/>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convocar os licitantes que mantiveram sua proposta original para negociação, na ordem de classificação, com vistas à obtenção de preço melhor, mesmo que acima do preço do adjudicatário; ou</w:t>
      </w:r>
    </w:p>
    <w:p w14:paraId="5C7D0A41">
      <w:pPr>
        <w:pStyle w:val="304"/>
        <w:numPr>
          <w:ilvl w:val="2"/>
          <w:numId w:val="16"/>
        </w:numPr>
        <w:tabs>
          <w:tab w:val="left" w:pos="0"/>
        </w:tabs>
        <w:suppressAutoHyphens w:val="0"/>
        <w:spacing w:before="0" w:after="0" w:line="360" w:lineRule="auto"/>
        <w:ind w:left="0" w:firstLine="0"/>
        <w:rPr>
          <w:rFonts w:hint="default" w:ascii="Arial" w:hAnsi="Arial" w:cs="Arial"/>
          <w:sz w:val="18"/>
          <w:szCs w:val="18"/>
        </w:rPr>
      </w:pPr>
      <w:r>
        <w:rPr>
          <w:rFonts w:hint="default" w:ascii="Arial" w:hAnsi="Arial" w:cs="Arial"/>
          <w:sz w:val="18"/>
          <w:szCs w:val="18"/>
        </w:rPr>
        <w:t xml:space="preserve"> adjudicar e firmar o contrato nas condições ofertadas pelos licitantes remanescentes, observada a ordem de classificação, quando frustrada a negociação de melhor condição.</w:t>
      </w:r>
    </w:p>
    <w:p w14:paraId="2379948E">
      <w:pPr>
        <w:pStyle w:val="304"/>
        <w:tabs>
          <w:tab w:val="left" w:pos="0"/>
        </w:tabs>
        <w:suppressAutoHyphens w:val="0"/>
        <w:spacing w:before="0" w:after="0" w:line="240" w:lineRule="auto"/>
        <w:ind w:left="0"/>
        <w:rPr>
          <w:rFonts w:hint="default" w:ascii="Arial" w:hAnsi="Arial" w:cs="Arial"/>
          <w:sz w:val="18"/>
          <w:szCs w:val="18"/>
        </w:rPr>
      </w:pPr>
    </w:p>
    <w:p w14:paraId="411F4206">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14.</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57ED0A3C">
      <w:pPr>
        <w:tabs>
          <w:tab w:val="left" w:pos="567"/>
        </w:tabs>
        <w:autoSpaceDE w:val="0"/>
        <w:autoSpaceDN w:val="0"/>
        <w:adjustRightInd w:val="0"/>
        <w:spacing w:line="360" w:lineRule="auto"/>
        <w:jc w:val="both"/>
        <w:rPr>
          <w:rFonts w:hint="default" w:ascii="Arial" w:hAnsi="Arial" w:cs="Arial"/>
          <w:b/>
          <w:bCs/>
          <w:sz w:val="18"/>
          <w:szCs w:val="18"/>
        </w:rPr>
      </w:pPr>
      <w:r>
        <w:rPr>
          <w:rFonts w:hint="default" w:ascii="Arial" w:hAnsi="Arial" w:cs="Arial"/>
          <w:sz w:val="18"/>
          <w:szCs w:val="18"/>
        </w:rPr>
        <w:t xml:space="preserve">14.1 </w:t>
      </w:r>
      <w:r>
        <w:rPr>
          <w:rFonts w:hint="default" w:ascii="Arial" w:hAnsi="Arial" w:cs="Arial"/>
          <w:b/>
          <w:bCs/>
          <w:sz w:val="18"/>
          <w:szCs w:val="18"/>
        </w:rPr>
        <w:t>Os critérios de aceitação do objeto e de fiscalização estão previstos no Termo de Referência/Projeto Básico.</w:t>
      </w:r>
    </w:p>
    <w:p w14:paraId="3C10AFBD">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14.2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5DBCD1A9">
      <w:pPr>
        <w:autoSpaceDE w:val="0"/>
        <w:autoSpaceDN w:val="0"/>
        <w:adjustRightInd w:val="0"/>
        <w:jc w:val="both"/>
        <w:rPr>
          <w:rFonts w:hint="default" w:ascii="Arial" w:hAnsi="Arial" w:cs="Arial"/>
          <w:b/>
          <w:bCs/>
          <w:sz w:val="18"/>
          <w:szCs w:val="18"/>
        </w:rPr>
      </w:pPr>
    </w:p>
    <w:p w14:paraId="093C50BC">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rPr>
        <w:t>15. DAS OBRIGAÇÕES DA CONTRATANTE E DA CONTRATADA</w:t>
      </w:r>
    </w:p>
    <w:p w14:paraId="358E10FE">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15.1 As obrigações da Contratante e da Contratada são as estabelecidas no Termo de Referência/Projeto Básico.</w:t>
      </w:r>
    </w:p>
    <w:p w14:paraId="28208C42">
      <w:pPr>
        <w:autoSpaceDE w:val="0"/>
        <w:autoSpaceDN w:val="0"/>
        <w:adjustRightInd w:val="0"/>
        <w:spacing w:line="360" w:lineRule="auto"/>
        <w:jc w:val="both"/>
        <w:rPr>
          <w:rFonts w:hint="default" w:ascii="Arial" w:hAnsi="Arial" w:cs="Arial"/>
          <w:sz w:val="18"/>
          <w:szCs w:val="18"/>
        </w:rPr>
      </w:pPr>
    </w:p>
    <w:p w14:paraId="29B1A3D0">
      <w:pPr>
        <w:spacing w:line="360" w:lineRule="auto"/>
        <w:jc w:val="both"/>
        <w:rPr>
          <w:rFonts w:hint="default" w:ascii="Arial" w:hAnsi="Arial" w:cs="Arial"/>
          <w:b/>
          <w:bCs/>
          <w:sz w:val="18"/>
          <w:szCs w:val="18"/>
        </w:rPr>
      </w:pPr>
      <w:r>
        <w:rPr>
          <w:rFonts w:hint="default" w:ascii="Arial" w:hAnsi="Arial" w:cs="Arial"/>
          <w:b/>
          <w:bCs/>
          <w:sz w:val="18"/>
          <w:szCs w:val="18"/>
        </w:rPr>
        <w:t xml:space="preserve">16. DO PAGAMENTO </w:t>
      </w:r>
    </w:p>
    <w:p w14:paraId="70F3891B">
      <w:pPr>
        <w:spacing w:line="360" w:lineRule="auto"/>
        <w:jc w:val="both"/>
        <w:rPr>
          <w:rFonts w:hint="default" w:ascii="Arial" w:hAnsi="Arial" w:cs="Arial"/>
          <w:sz w:val="18"/>
          <w:szCs w:val="18"/>
        </w:rPr>
      </w:pPr>
      <w:r>
        <w:rPr>
          <w:rFonts w:hint="default" w:ascii="Arial" w:hAnsi="Arial" w:cs="Arial"/>
          <w:color w:val="000000"/>
          <w:sz w:val="18"/>
          <w:szCs w:val="18"/>
        </w:rPr>
        <w:t xml:space="preserve">16.1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4E28B20B">
      <w:pPr>
        <w:spacing w:line="360" w:lineRule="auto"/>
        <w:jc w:val="both"/>
        <w:rPr>
          <w:rFonts w:hint="default" w:ascii="Arial" w:hAnsi="Arial" w:cs="Arial"/>
          <w:sz w:val="18"/>
          <w:szCs w:val="18"/>
        </w:rPr>
      </w:pPr>
      <w:r>
        <w:rPr>
          <w:rFonts w:hint="default" w:ascii="Arial" w:hAnsi="Arial" w:cs="Arial"/>
          <w:sz w:val="18"/>
          <w:szCs w:val="18"/>
        </w:rPr>
        <w:t>16.2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78743BDA">
      <w:pPr>
        <w:spacing w:line="360" w:lineRule="auto"/>
        <w:jc w:val="both"/>
        <w:rPr>
          <w:rFonts w:hint="default" w:ascii="Arial" w:hAnsi="Arial" w:cs="Arial"/>
          <w:sz w:val="18"/>
          <w:szCs w:val="18"/>
        </w:rPr>
      </w:pPr>
      <w:r>
        <w:rPr>
          <w:rFonts w:hint="default" w:ascii="Arial" w:hAnsi="Arial" w:cs="Arial"/>
          <w:sz w:val="18"/>
          <w:szCs w:val="18"/>
        </w:rPr>
        <w:t>16.3 Os documentos comprovando tal centralização deverão ser fornecidos pelos órgãos competentes, constando da documentação apresentada na Habilitação.</w:t>
      </w:r>
    </w:p>
    <w:p w14:paraId="7E0EA77D">
      <w:pPr>
        <w:spacing w:line="360" w:lineRule="auto"/>
        <w:jc w:val="both"/>
        <w:rPr>
          <w:rFonts w:hint="default" w:ascii="Arial" w:hAnsi="Arial" w:cs="Arial"/>
          <w:b w:val="0"/>
          <w:bCs w:val="0"/>
          <w:sz w:val="18"/>
          <w:szCs w:val="18"/>
        </w:rPr>
      </w:pPr>
      <w:r>
        <w:rPr>
          <w:rFonts w:hint="default" w:ascii="Arial" w:hAnsi="Arial" w:cs="Arial"/>
          <w:sz w:val="18"/>
          <w:szCs w:val="18"/>
        </w:rPr>
        <w:t xml:space="preserve">16.4 A dotação orçamentária destinada ao pagamento do objeto licitado será prevista e indicada </w:t>
      </w:r>
      <w:r>
        <w:rPr>
          <w:rFonts w:hint="default" w:ascii="Arial" w:hAnsi="Arial" w:cs="Arial"/>
          <w:sz w:val="18"/>
          <w:szCs w:val="18"/>
          <w:lang w:val="pt-BR"/>
        </w:rPr>
        <w:t xml:space="preserve">na autorização de </w:t>
      </w:r>
      <w:r>
        <w:rPr>
          <w:rFonts w:hint="default" w:ascii="Arial" w:hAnsi="Arial" w:cs="Arial"/>
          <w:b w:val="0"/>
          <w:bCs w:val="0"/>
          <w:sz w:val="18"/>
          <w:szCs w:val="18"/>
          <w:lang w:val="pt-BR"/>
        </w:rPr>
        <w:t>fornecimento ou nota de empenho emitida</w:t>
      </w:r>
      <w:r>
        <w:rPr>
          <w:rFonts w:hint="default" w:ascii="Arial" w:hAnsi="Arial" w:cs="Arial"/>
          <w:b w:val="0"/>
          <w:bCs w:val="0"/>
          <w:sz w:val="18"/>
          <w:szCs w:val="18"/>
        </w:rPr>
        <w:t xml:space="preserve"> pela área competente da Prefeitura Municipal de Cataguases, sendo:</w:t>
      </w:r>
    </w:p>
    <w:p w14:paraId="022C2B57">
      <w:pPr>
        <w:spacing w:line="360" w:lineRule="auto"/>
        <w:jc w:val="both"/>
        <w:rPr>
          <w:rFonts w:hint="default" w:ascii="Arial" w:hAnsi="Arial"/>
          <w:b w:val="0"/>
          <w:bCs w:val="0"/>
          <w:sz w:val="18"/>
          <w:szCs w:val="18"/>
          <w:lang w:eastAsia="ar-SA"/>
        </w:rPr>
      </w:pPr>
      <w:r>
        <w:rPr>
          <w:rFonts w:hint="default" w:ascii="Arial" w:hAnsi="Arial"/>
          <w:b w:val="0"/>
          <w:bCs w:val="0"/>
          <w:sz w:val="18"/>
          <w:szCs w:val="18"/>
          <w:lang w:eastAsia="ar-SA"/>
        </w:rPr>
        <w:t>A contratação será atendida pelo seguinte centro de custo:</w:t>
      </w:r>
    </w:p>
    <w:p w14:paraId="0BD3C6C9">
      <w:pPr>
        <w:spacing w:line="360" w:lineRule="auto"/>
        <w:jc w:val="both"/>
        <w:rPr>
          <w:rFonts w:hint="default" w:ascii="Arial" w:hAnsi="Arial"/>
          <w:b/>
          <w:bCs/>
          <w:sz w:val="18"/>
          <w:szCs w:val="18"/>
          <w:lang w:eastAsia="ar-SA"/>
        </w:rPr>
      </w:pPr>
      <w:r>
        <w:rPr>
          <w:rFonts w:hint="default" w:ascii="Arial" w:hAnsi="Arial"/>
          <w:b/>
          <w:bCs/>
          <w:sz w:val="18"/>
          <w:szCs w:val="18"/>
          <w:lang w:eastAsia="ar-SA"/>
        </w:rPr>
        <w:t>02009– Fundo Municipal de Saúde</w:t>
      </w:r>
    </w:p>
    <w:p w14:paraId="2DF942AA">
      <w:pPr>
        <w:spacing w:line="360" w:lineRule="auto"/>
        <w:jc w:val="both"/>
        <w:rPr>
          <w:rFonts w:hint="default" w:ascii="Arial" w:hAnsi="Arial"/>
          <w:b/>
          <w:bCs/>
          <w:sz w:val="18"/>
          <w:szCs w:val="18"/>
          <w:lang w:eastAsia="ar-SA"/>
        </w:rPr>
      </w:pPr>
      <w:r>
        <w:rPr>
          <w:rFonts w:hint="default" w:ascii="Arial" w:hAnsi="Arial"/>
          <w:b/>
          <w:bCs/>
          <w:sz w:val="18"/>
          <w:szCs w:val="18"/>
          <w:lang w:eastAsia="ar-SA"/>
        </w:rPr>
        <w:t>2.083 – Manutenção e Coordenação das Atividades da Atenção Básica</w:t>
      </w:r>
    </w:p>
    <w:p w14:paraId="50EAA07A">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da Atenção Primária à Saúde</w:t>
      </w:r>
    </w:p>
    <w:p w14:paraId="5573C3ED">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da Saúde Bucal (Odontologia)</w:t>
      </w:r>
    </w:p>
    <w:p w14:paraId="12A7DA46">
      <w:pPr>
        <w:spacing w:line="360" w:lineRule="auto"/>
        <w:jc w:val="both"/>
        <w:rPr>
          <w:rFonts w:hint="default" w:ascii="Arial" w:hAnsi="Arial"/>
          <w:b/>
          <w:bCs/>
          <w:sz w:val="18"/>
          <w:szCs w:val="18"/>
          <w:lang w:eastAsia="ar-SA"/>
        </w:rPr>
      </w:pPr>
      <w:r>
        <w:rPr>
          <w:rFonts w:hint="default" w:ascii="Arial" w:hAnsi="Arial"/>
          <w:b/>
          <w:bCs/>
          <w:sz w:val="18"/>
          <w:szCs w:val="18"/>
          <w:lang w:eastAsia="ar-SA"/>
        </w:rPr>
        <w:t>2.084 –Manutenção e Coordenação das Atividades da Média e Alta Complexidade Ambulatorial</w:t>
      </w:r>
    </w:p>
    <w:p w14:paraId="0EA221D3">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Serviço de Atendimento Especializado</w:t>
      </w:r>
    </w:p>
    <w:p w14:paraId="20251C3B">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Serviço de Radiologia</w:t>
      </w:r>
    </w:p>
    <w:p w14:paraId="6F4A5F01">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Centro de Especialidades Odontológicas</w:t>
      </w:r>
    </w:p>
    <w:p w14:paraId="6989904F">
      <w:pPr>
        <w:spacing w:line="360" w:lineRule="auto"/>
        <w:jc w:val="both"/>
        <w:rPr>
          <w:rFonts w:hint="default" w:ascii="Arial" w:hAnsi="Arial"/>
          <w:b/>
          <w:bCs/>
          <w:sz w:val="18"/>
          <w:szCs w:val="18"/>
          <w:lang w:eastAsia="ar-SA"/>
        </w:rPr>
      </w:pPr>
      <w:r>
        <w:rPr>
          <w:rFonts w:hint="default" w:ascii="Arial" w:hAnsi="Arial"/>
          <w:b/>
          <w:bCs/>
          <w:sz w:val="18"/>
          <w:szCs w:val="18"/>
          <w:lang w:eastAsia="ar-SA"/>
        </w:rPr>
        <w:t>2.085 – Manutenção e Coordenação das Atividades da Raps – Rede de Atenção Psicossocial</w:t>
      </w:r>
    </w:p>
    <w:p w14:paraId="2BBD76EF">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CAPS I</w:t>
      </w:r>
    </w:p>
    <w:p w14:paraId="63FA163A">
      <w:pPr>
        <w:numPr>
          <w:ilvl w:val="0"/>
          <w:numId w:val="3"/>
        </w:numPr>
        <w:spacing w:line="360" w:lineRule="auto"/>
        <w:ind w:left="420" w:leftChars="0" w:hanging="420" w:firstLineChars="0"/>
        <w:jc w:val="both"/>
        <w:rPr>
          <w:rFonts w:hint="default" w:ascii="Arial" w:hAnsi="Arial"/>
          <w:b w:val="0"/>
          <w:bCs w:val="0"/>
          <w:sz w:val="18"/>
          <w:szCs w:val="18"/>
          <w:lang w:eastAsia="ar-SA"/>
        </w:rPr>
      </w:pPr>
      <w:r>
        <w:rPr>
          <w:rFonts w:hint="default" w:ascii="Arial" w:hAnsi="Arial"/>
          <w:b w:val="0"/>
          <w:bCs w:val="0"/>
          <w:sz w:val="18"/>
          <w:szCs w:val="18"/>
          <w:lang w:eastAsia="ar-SA"/>
        </w:rPr>
        <w:t>Gestão do CAPS AD</w:t>
      </w:r>
    </w:p>
    <w:p w14:paraId="3877E167">
      <w:pPr>
        <w:pStyle w:val="220"/>
        <w:tabs>
          <w:tab w:val="left" w:pos="851"/>
          <w:tab w:val="left" w:pos="993"/>
        </w:tabs>
        <w:spacing w:line="360" w:lineRule="auto"/>
        <w:ind w:left="0"/>
        <w:jc w:val="both"/>
        <w:rPr>
          <w:rFonts w:hint="default" w:ascii="Arial" w:hAnsi="Arial" w:cs="Arial"/>
          <w:sz w:val="18"/>
          <w:szCs w:val="18"/>
        </w:rPr>
      </w:pPr>
      <w:r>
        <w:rPr>
          <w:rFonts w:hint="default" w:ascii="Arial" w:hAnsi="Arial" w:cs="Arial"/>
          <w:b w:val="0"/>
          <w:bCs w:val="0"/>
          <w:sz w:val="18"/>
          <w:szCs w:val="18"/>
        </w:rPr>
        <w:t xml:space="preserve">16.5 Quando for constatada qualquer irregularidade na </w:t>
      </w:r>
      <w:r>
        <w:rPr>
          <w:rFonts w:hint="default" w:ascii="Arial" w:hAnsi="Arial" w:cs="Arial"/>
          <w:sz w:val="18"/>
          <w:szCs w:val="18"/>
        </w:rPr>
        <w:t>Nota Fiscal/Fatura, será imediatamente solicitada à empresa adjudicatária carta de correção quando couber, ou ainda pertinente regularização, que deverá ser encaminhada no prazo de 2 (dois) dias úteis</w:t>
      </w:r>
      <w:r>
        <w:rPr>
          <w:rFonts w:hint="default" w:ascii="Arial" w:hAnsi="Arial" w:cs="Arial"/>
          <w:sz w:val="18"/>
          <w:szCs w:val="18"/>
        </w:rPr>
        <w:t>.</w:t>
      </w:r>
    </w:p>
    <w:p w14:paraId="6002A0DC">
      <w:pPr>
        <w:pStyle w:val="220"/>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rPr>
        <w:t xml:space="preserve">16.6 Caso a contratada não apresente carta de correção no prazo estipulado, o prazo para pagamento será recontado, a partir da data da sua apresentação. </w:t>
      </w:r>
    </w:p>
    <w:p w14:paraId="78A9B40C">
      <w:pPr>
        <w:pStyle w:val="220"/>
        <w:tabs>
          <w:tab w:val="left" w:pos="851"/>
        </w:tabs>
        <w:spacing w:line="360" w:lineRule="auto"/>
        <w:ind w:left="0"/>
        <w:jc w:val="both"/>
        <w:rPr>
          <w:rFonts w:hint="default" w:ascii="Arial" w:hAnsi="Arial" w:cs="Arial"/>
          <w:color w:val="000000"/>
          <w:sz w:val="18"/>
          <w:szCs w:val="18"/>
          <w:highlight w:val="none"/>
        </w:rPr>
      </w:pPr>
      <w:r>
        <w:rPr>
          <w:rFonts w:hint="default" w:ascii="Arial" w:hAnsi="Arial" w:cs="Arial"/>
          <w:sz w:val="18"/>
          <w:szCs w:val="18"/>
          <w:highlight w:val="none"/>
        </w:rPr>
        <w:t>16.7 O valor estimado para contratação é d</w:t>
      </w:r>
      <w:r>
        <w:rPr>
          <w:rFonts w:hint="default" w:ascii="Arial" w:hAnsi="Arial" w:cs="Arial"/>
          <w:b w:val="0"/>
          <w:bCs w:val="0"/>
          <w:sz w:val="18"/>
          <w:szCs w:val="18"/>
          <w:highlight w:val="none"/>
        </w:rPr>
        <w:t>e</w:t>
      </w:r>
      <w:r>
        <w:rPr>
          <w:rFonts w:hint="default" w:ascii="Arial" w:hAnsi="Arial" w:eastAsia="Times New Roman" w:cs="Arial"/>
          <w:b w:val="0"/>
          <w:bCs w:val="0"/>
          <w:sz w:val="18"/>
          <w:szCs w:val="18"/>
          <w:highlight w:val="none"/>
        </w:rPr>
        <w:t xml:space="preserve"> </w:t>
      </w:r>
      <w:r>
        <w:rPr>
          <w:rFonts w:hint="default" w:ascii="Arial" w:hAnsi="Arial"/>
          <w:bCs/>
          <w:sz w:val="18"/>
          <w:szCs w:val="18"/>
        </w:rPr>
        <w:t>R$ 228.930,20 (duzentos e vinte e oito mil, novecentos e trinta reais e vinte centavos)</w:t>
      </w:r>
      <w:r>
        <w:rPr>
          <w:rFonts w:hint="default" w:ascii="Arial" w:hAnsi="Arial" w:eastAsia="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sz w:val="18"/>
          <w:szCs w:val="18"/>
          <w:highlight w:val="none"/>
        </w:rPr>
        <w:t xml:space="preserve"> de acordo com o mapa analítico an</w:t>
      </w:r>
      <w:r>
        <w:rPr>
          <w:rFonts w:hint="default" w:ascii="Arial" w:hAnsi="Arial" w:cs="Arial"/>
          <w:sz w:val="18"/>
          <w:szCs w:val="18"/>
          <w:highlight w:val="none"/>
        </w:rPr>
        <w:t>exo.</w:t>
      </w:r>
    </w:p>
    <w:p w14:paraId="74BE0BA1">
      <w:pPr>
        <w:spacing w:line="360" w:lineRule="auto"/>
        <w:jc w:val="both"/>
        <w:rPr>
          <w:rFonts w:hint="default" w:ascii="Arial" w:hAnsi="Arial" w:cs="Arial"/>
          <w:b/>
          <w:sz w:val="18"/>
          <w:szCs w:val="18"/>
        </w:rPr>
      </w:pPr>
      <w:r>
        <w:rPr>
          <w:rFonts w:hint="default" w:ascii="Arial" w:hAnsi="Arial" w:cs="Arial"/>
          <w:sz w:val="18"/>
          <w:szCs w:val="18"/>
        </w:rPr>
        <w:t>16.8 No preço proposto já deverão estar incluídos todos os custos necessários para o cumprimento do objeto da licitação, bem como todos os impostos, encargos trabalhistas, previdenciários, fiscais, c</w:t>
      </w:r>
      <w:r>
        <w:rPr>
          <w:rFonts w:hint="default" w:ascii="Arial" w:hAnsi="Arial" w:cs="Arial"/>
          <w:sz w:val="18"/>
          <w:szCs w:val="18"/>
        </w:rPr>
        <w:t>omerciais, taxas, fretes, seguros e quaisquer outros que incidam ou venham a incidir sobre o objeto licitado.</w:t>
      </w:r>
    </w:p>
    <w:p w14:paraId="5FFD27BB">
      <w:pPr>
        <w:spacing w:line="360" w:lineRule="auto"/>
        <w:jc w:val="both"/>
        <w:rPr>
          <w:rFonts w:hint="default" w:ascii="Arial" w:hAnsi="Arial" w:cs="Arial"/>
          <w:sz w:val="18"/>
          <w:szCs w:val="18"/>
        </w:rPr>
      </w:pPr>
      <w:r>
        <w:rPr>
          <w:rFonts w:hint="default" w:ascii="Arial" w:hAnsi="Arial" w:cs="Arial"/>
          <w:sz w:val="18"/>
          <w:szCs w:val="18"/>
        </w:rPr>
        <w:t>16.9 A empresa deverá observar e cumprir o Decreto 5.811/2023 para as emissões da NF em relação às retenções do IR.</w:t>
      </w:r>
    </w:p>
    <w:p w14:paraId="4577E846">
      <w:pPr>
        <w:spacing w:line="360" w:lineRule="auto"/>
        <w:jc w:val="both"/>
        <w:rPr>
          <w:rFonts w:hint="default" w:ascii="Arial" w:hAnsi="Arial" w:cs="Arial"/>
          <w:sz w:val="18"/>
          <w:szCs w:val="18"/>
        </w:rPr>
      </w:pPr>
    </w:p>
    <w:p w14:paraId="328E3060">
      <w:pPr>
        <w:pStyle w:val="278"/>
        <w:numPr>
          <w:ilvl w:val="0"/>
          <w:numId w:val="0"/>
        </w:numPr>
        <w:tabs>
          <w:tab w:val="left" w:pos="284"/>
          <w:tab w:val="clear" w:pos="567"/>
        </w:tabs>
        <w:spacing w:before="0" w:line="360" w:lineRule="auto"/>
        <w:rPr>
          <w:rFonts w:hint="default" w:ascii="Arial" w:hAnsi="Arial" w:cs="Arial"/>
          <w:sz w:val="18"/>
          <w:szCs w:val="18"/>
        </w:rPr>
      </w:pPr>
      <w:bookmarkStart w:id="27" w:name="_Toc122606112"/>
      <w:r>
        <w:rPr>
          <w:rFonts w:hint="default" w:ascii="Arial" w:hAnsi="Arial" w:cs="Arial"/>
          <w:sz w:val="18"/>
          <w:szCs w:val="18"/>
        </w:rPr>
        <w:t>17. DAS INFRAÇÕES ADMINISTRATIVAS E SANÇÕES</w:t>
      </w:r>
    </w:p>
    <w:p w14:paraId="2482A572">
      <w:pPr>
        <w:pStyle w:val="304"/>
        <w:spacing w:before="0" w:after="0" w:line="360" w:lineRule="auto"/>
        <w:ind w:left="0"/>
        <w:rPr>
          <w:rFonts w:hint="default" w:ascii="Arial" w:hAnsi="Arial" w:cs="Arial"/>
          <w:color w:val="auto"/>
          <w:sz w:val="18"/>
          <w:szCs w:val="18"/>
          <w:shd w:val="clear" w:color="auto" w:fill="FFFFFF"/>
        </w:rPr>
      </w:pPr>
      <w:bookmarkStart w:id="28" w:name="_Hlk114652595"/>
      <w:bookmarkStart w:id="29" w:name="_Ref114668085"/>
      <w:r>
        <w:rPr>
          <w:rFonts w:hint="default" w:ascii="Arial" w:hAnsi="Arial" w:cs="Arial"/>
          <w:color w:val="auto"/>
          <w:sz w:val="18"/>
          <w:szCs w:val="18"/>
        </w:rPr>
        <w:t xml:space="preserve">17.1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0971361D">
      <w:pPr>
        <w:pStyle w:val="303"/>
        <w:tabs>
          <w:tab w:val="left" w:pos="567"/>
        </w:tabs>
        <w:spacing w:before="0" w:after="0" w:line="360" w:lineRule="auto"/>
        <w:rPr>
          <w:rFonts w:hint="default" w:ascii="Arial" w:hAnsi="Arial" w:cs="Arial"/>
          <w:color w:val="auto"/>
          <w:sz w:val="18"/>
          <w:szCs w:val="18"/>
        </w:rPr>
      </w:pPr>
      <w:r>
        <w:rPr>
          <w:rFonts w:hint="default" w:ascii="Arial" w:hAnsi="Arial" w:cs="Arial"/>
          <w:color w:val="auto"/>
          <w:sz w:val="18"/>
          <w:szCs w:val="18"/>
        </w:rPr>
        <w:t xml:space="preserve">17.2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11"/>
          <w:rFonts w:hint="default" w:ascii="Arial" w:hAnsi="Arial" w:cs="Arial"/>
          <w:color w:val="auto"/>
          <w:sz w:val="18"/>
          <w:szCs w:val="18"/>
        </w:rPr>
        <w:t>Lei nº 14.133, de 2021</w:t>
      </w:r>
      <w:r>
        <w:rPr>
          <w:rStyle w:val="11"/>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1681FF5E">
      <w:pPr>
        <w:pStyle w:val="304"/>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 xml:space="preserve">17.2.1 advertência; </w:t>
      </w:r>
    </w:p>
    <w:p w14:paraId="645B04AB">
      <w:pPr>
        <w:pStyle w:val="304"/>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17.2.2 multa;</w:t>
      </w:r>
    </w:p>
    <w:p w14:paraId="5E864490">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17.2.3 impedimento de licitar e contratar:</w:t>
      </w:r>
    </w:p>
    <w:p w14:paraId="7FB9BFF3">
      <w:pPr>
        <w:pStyle w:val="304"/>
        <w:tabs>
          <w:tab w:val="left" w:pos="1843"/>
        </w:tabs>
        <w:spacing w:before="0" w:after="0" w:line="360" w:lineRule="auto"/>
        <w:ind w:left="0"/>
        <w:rPr>
          <w:rFonts w:hint="default" w:ascii="Arial" w:hAnsi="Arial" w:cs="Arial"/>
          <w:b/>
          <w:color w:val="auto"/>
          <w:sz w:val="18"/>
          <w:szCs w:val="18"/>
        </w:rPr>
      </w:pPr>
      <w:r>
        <w:rPr>
          <w:rFonts w:hint="default" w:ascii="Arial" w:hAnsi="Arial" w:cs="Arial"/>
          <w:color w:val="auto"/>
          <w:sz w:val="18"/>
          <w:szCs w:val="18"/>
        </w:rPr>
        <w:t xml:space="preserve">17.2.4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7BC46A5C">
      <w:pPr>
        <w:pStyle w:val="304"/>
        <w:tabs>
          <w:tab w:val="left" w:pos="1843"/>
        </w:tabs>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17.2.5 na aplicação das sanções serão considerados:</w:t>
      </w:r>
    </w:p>
    <w:p w14:paraId="5D176075">
      <w:pPr>
        <w:pStyle w:val="305"/>
        <w:spacing w:before="0" w:after="0" w:line="360" w:lineRule="auto"/>
        <w:ind w:left="0"/>
        <w:rPr>
          <w:rFonts w:hint="default" w:ascii="Arial" w:hAnsi="Arial" w:cs="Arial"/>
          <w:sz w:val="18"/>
          <w:szCs w:val="18"/>
        </w:rPr>
      </w:pPr>
      <w:r>
        <w:rPr>
          <w:rFonts w:hint="default" w:ascii="Arial" w:hAnsi="Arial" w:cs="Arial"/>
          <w:sz w:val="18"/>
          <w:szCs w:val="18"/>
        </w:rPr>
        <w:t>17.2.6 a natureza e a gravidade da infração cometida;</w:t>
      </w:r>
    </w:p>
    <w:p w14:paraId="485566A5">
      <w:pPr>
        <w:pStyle w:val="305"/>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17.2.7 as peculiaridades do caso concreto;</w:t>
      </w:r>
    </w:p>
    <w:p w14:paraId="076431DD">
      <w:pPr>
        <w:pStyle w:val="305"/>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17.2.8 as circunstâncias agravantes ou atenuantes;</w:t>
      </w:r>
    </w:p>
    <w:p w14:paraId="1E92A1D7">
      <w:pPr>
        <w:pStyle w:val="305"/>
        <w:tabs>
          <w:tab w:val="left" w:pos="1985"/>
        </w:tabs>
        <w:spacing w:before="0" w:after="0" w:line="360" w:lineRule="auto"/>
        <w:ind w:left="0"/>
        <w:rPr>
          <w:rFonts w:hint="default" w:ascii="Arial" w:hAnsi="Arial" w:cs="Arial"/>
          <w:sz w:val="18"/>
          <w:szCs w:val="18"/>
        </w:rPr>
      </w:pPr>
      <w:r>
        <w:rPr>
          <w:rFonts w:hint="default" w:ascii="Arial" w:hAnsi="Arial" w:cs="Arial"/>
          <w:sz w:val="18"/>
          <w:szCs w:val="18"/>
        </w:rPr>
        <w:t>17.2.9 os danos que dela provierem para a Administração Pública;</w:t>
      </w:r>
    </w:p>
    <w:p w14:paraId="32351811">
      <w:pPr>
        <w:pStyle w:val="278"/>
        <w:numPr>
          <w:ilvl w:val="0"/>
          <w:numId w:val="0"/>
        </w:numPr>
        <w:spacing w:before="0" w:line="360" w:lineRule="auto"/>
        <w:rPr>
          <w:rFonts w:hint="default" w:ascii="Arial" w:hAnsi="Arial" w:cs="Arial"/>
          <w:b w:val="0"/>
          <w:sz w:val="18"/>
          <w:szCs w:val="18"/>
        </w:rPr>
      </w:pPr>
      <w:r>
        <w:rPr>
          <w:rFonts w:hint="default" w:ascii="Arial" w:hAnsi="Arial" w:cs="Arial"/>
          <w:b w:val="0"/>
          <w:sz w:val="18"/>
          <w:szCs w:val="18"/>
        </w:rPr>
        <w:t>17.2.10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161A59C4">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11"/>
          <w:rFonts w:hint="default" w:ascii="Arial" w:hAnsi="Arial" w:cs="Arial"/>
          <w:color w:val="auto"/>
          <w:sz w:val="18"/>
          <w:szCs w:val="18"/>
        </w:rPr>
        <w:t>inciso I do </w:t>
      </w:r>
      <w:r>
        <w:rPr>
          <w:rStyle w:val="11"/>
          <w:rFonts w:hint="default" w:ascii="Arial" w:hAnsi="Arial" w:cs="Arial"/>
          <w:bCs/>
          <w:color w:val="auto"/>
          <w:sz w:val="18"/>
          <w:szCs w:val="18"/>
        </w:rPr>
        <w:t>caput</w:t>
      </w:r>
      <w:r>
        <w:rPr>
          <w:rStyle w:val="11"/>
          <w:rFonts w:hint="default" w:ascii="Arial" w:hAnsi="Arial" w:cs="Arial"/>
          <w:color w:val="auto"/>
          <w:sz w:val="18"/>
          <w:szCs w:val="18"/>
        </w:rPr>
        <w:t> do art. 155 da Lei</w:t>
      </w:r>
      <w:r>
        <w:rPr>
          <w:rStyle w:val="11"/>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4018B8F3">
      <w:pPr>
        <w:pStyle w:val="304"/>
        <w:spacing w:before="0" w:after="0" w:line="360" w:lineRule="auto"/>
        <w:ind w:left="0"/>
        <w:rPr>
          <w:rFonts w:hint="default" w:ascii="Arial" w:hAnsi="Arial" w:cs="Arial"/>
          <w:sz w:val="18"/>
          <w:szCs w:val="18"/>
        </w:rPr>
      </w:pPr>
      <w:r>
        <w:rPr>
          <w:rFonts w:hint="default" w:ascii="Arial" w:hAnsi="Arial" w:cs="Arial"/>
          <w:color w:val="1D2228"/>
          <w:sz w:val="18"/>
          <w:szCs w:val="18"/>
          <w:shd w:val="clear" w:color="auto" w:fill="FFFFFF"/>
        </w:rPr>
        <w:t xml:space="preserve">17.3.1 </w:t>
      </w:r>
      <w:r>
        <w:rPr>
          <w:rFonts w:hint="default" w:ascii="Arial" w:hAnsi="Arial" w:cs="Arial"/>
          <w:sz w:val="18"/>
          <w:szCs w:val="18"/>
        </w:rPr>
        <w:t xml:space="preserve">dar causa à inexecução parcial do contrato; 10% do valor da parcela inadimplida; </w:t>
      </w:r>
    </w:p>
    <w:p w14:paraId="15D7031C">
      <w:pPr>
        <w:pStyle w:val="304"/>
        <w:spacing w:before="0" w:after="0" w:line="360" w:lineRule="auto"/>
        <w:ind w:left="0"/>
        <w:rPr>
          <w:rFonts w:hint="default" w:ascii="Arial" w:hAnsi="Arial" w:cs="Arial"/>
          <w:sz w:val="18"/>
          <w:szCs w:val="18"/>
        </w:rPr>
      </w:pPr>
      <w:r>
        <w:rPr>
          <w:rFonts w:hint="default" w:ascii="Arial" w:hAnsi="Arial" w:cs="Arial"/>
          <w:sz w:val="18"/>
          <w:szCs w:val="18"/>
        </w:rPr>
        <w:t>17.3.2 dar causa à inexecução parcial do contrato que cause grave dano à Administração, ao funcionamento dos serviços públicos ou ao interesse coletivo; 15% do valor do contrato;</w:t>
      </w:r>
    </w:p>
    <w:p w14:paraId="6ED1119C">
      <w:pPr>
        <w:pStyle w:val="304"/>
        <w:spacing w:before="0" w:after="0" w:line="360" w:lineRule="auto"/>
        <w:ind w:left="0"/>
        <w:rPr>
          <w:rFonts w:hint="default" w:ascii="Arial" w:hAnsi="Arial" w:cs="Arial"/>
          <w:sz w:val="18"/>
          <w:szCs w:val="18"/>
        </w:rPr>
      </w:pPr>
      <w:r>
        <w:rPr>
          <w:rFonts w:hint="default" w:ascii="Arial" w:hAnsi="Arial" w:cs="Arial"/>
          <w:sz w:val="18"/>
          <w:szCs w:val="18"/>
        </w:rPr>
        <w:t>17.3.3 dar causa à inexecução total do contrato; 20% do valor do contrato;</w:t>
      </w:r>
    </w:p>
    <w:p w14:paraId="1305D3E1">
      <w:pPr>
        <w:pStyle w:val="304"/>
        <w:spacing w:before="0" w:after="0" w:line="360" w:lineRule="auto"/>
        <w:ind w:left="0"/>
        <w:rPr>
          <w:rFonts w:hint="default" w:ascii="Arial" w:hAnsi="Arial" w:cs="Arial"/>
          <w:sz w:val="18"/>
          <w:szCs w:val="18"/>
        </w:rPr>
      </w:pPr>
      <w:r>
        <w:rPr>
          <w:rFonts w:hint="default" w:ascii="Arial" w:hAnsi="Arial" w:cs="Arial"/>
          <w:sz w:val="18"/>
          <w:szCs w:val="18"/>
        </w:rPr>
        <w:t>17.3.4 deixar de entregar a documentação exigida para o certame; 5% do valor do contrato;</w:t>
      </w:r>
    </w:p>
    <w:p w14:paraId="5E63A329">
      <w:pPr>
        <w:pStyle w:val="304"/>
        <w:spacing w:before="0" w:after="0" w:line="360" w:lineRule="auto"/>
        <w:ind w:left="0"/>
        <w:rPr>
          <w:rFonts w:hint="default" w:ascii="Arial" w:hAnsi="Arial" w:cs="Arial"/>
          <w:sz w:val="18"/>
          <w:szCs w:val="18"/>
        </w:rPr>
      </w:pPr>
      <w:r>
        <w:rPr>
          <w:rFonts w:hint="default" w:ascii="Arial" w:hAnsi="Arial" w:cs="Arial"/>
          <w:sz w:val="18"/>
          <w:szCs w:val="18"/>
        </w:rPr>
        <w:t>17.3.5 não manter a proposta, salvo em decorrência de fato superveniente devidamente justificado; 10% do valor do contrato;</w:t>
      </w:r>
    </w:p>
    <w:p w14:paraId="614B85A6">
      <w:pPr>
        <w:pStyle w:val="304"/>
        <w:spacing w:before="0" w:after="0" w:line="360" w:lineRule="auto"/>
        <w:ind w:left="0"/>
        <w:rPr>
          <w:rFonts w:hint="default" w:ascii="Arial" w:hAnsi="Arial" w:cs="Arial"/>
          <w:sz w:val="18"/>
          <w:szCs w:val="18"/>
        </w:rPr>
      </w:pPr>
      <w:r>
        <w:rPr>
          <w:rFonts w:hint="default" w:ascii="Arial" w:hAnsi="Arial" w:cs="Arial"/>
          <w:sz w:val="18"/>
          <w:szCs w:val="18"/>
        </w:rPr>
        <w:t>17.3.6 não celebrar o contrato ou não entregar a documentação exigida para a contratação, quando convocado dentro do prazo de validade de sua proposta; 5% do valor do contrato;</w:t>
      </w:r>
    </w:p>
    <w:p w14:paraId="24703EE3">
      <w:pPr>
        <w:pStyle w:val="304"/>
        <w:spacing w:before="0" w:after="0" w:line="360" w:lineRule="auto"/>
        <w:ind w:left="0"/>
        <w:rPr>
          <w:rFonts w:hint="default" w:ascii="Arial" w:hAnsi="Arial" w:cs="Arial"/>
          <w:sz w:val="18"/>
          <w:szCs w:val="18"/>
        </w:rPr>
      </w:pPr>
      <w:r>
        <w:rPr>
          <w:rFonts w:hint="default" w:ascii="Arial" w:hAnsi="Arial" w:cs="Arial"/>
          <w:sz w:val="18"/>
          <w:szCs w:val="18"/>
        </w:rPr>
        <w:t>17.3.7 ensejar o retardamento da execução ou da entrega do objeto da licitação sem motivo justificado; 10% do valor do contrato;</w:t>
      </w:r>
    </w:p>
    <w:p w14:paraId="56C670D0">
      <w:pPr>
        <w:pStyle w:val="304"/>
        <w:spacing w:before="0" w:after="0" w:line="360" w:lineRule="auto"/>
        <w:ind w:left="0"/>
        <w:rPr>
          <w:rFonts w:hint="default" w:ascii="Arial" w:hAnsi="Arial" w:cs="Arial"/>
          <w:sz w:val="18"/>
          <w:szCs w:val="18"/>
        </w:rPr>
      </w:pPr>
      <w:r>
        <w:rPr>
          <w:rFonts w:hint="default" w:ascii="Arial" w:hAnsi="Arial" w:cs="Arial"/>
          <w:sz w:val="18"/>
          <w:szCs w:val="18"/>
        </w:rPr>
        <w:t>17.3.8 apresentar declaração ou documentação falsa exigida para o certame ou prestar declaração falsa durante a licitação ou a execução do contrato; 30% do valor do contrato;</w:t>
      </w:r>
    </w:p>
    <w:p w14:paraId="2C414A4B">
      <w:pPr>
        <w:pStyle w:val="304"/>
        <w:spacing w:before="0" w:after="0" w:line="360" w:lineRule="auto"/>
        <w:ind w:left="0"/>
        <w:rPr>
          <w:rFonts w:hint="default" w:ascii="Arial" w:hAnsi="Arial" w:cs="Arial"/>
          <w:sz w:val="18"/>
          <w:szCs w:val="18"/>
        </w:rPr>
      </w:pPr>
      <w:r>
        <w:rPr>
          <w:rFonts w:hint="default" w:ascii="Arial" w:hAnsi="Arial" w:cs="Arial"/>
          <w:sz w:val="18"/>
          <w:szCs w:val="18"/>
        </w:rPr>
        <w:t>17.3.9 fraudar a licitação ou praticar ato fraudulento na execução do contrato; 30% do valor do contrato;</w:t>
      </w:r>
    </w:p>
    <w:p w14:paraId="1676DFEF">
      <w:pPr>
        <w:pStyle w:val="304"/>
        <w:spacing w:before="0" w:after="0" w:line="360" w:lineRule="auto"/>
        <w:ind w:left="0"/>
        <w:rPr>
          <w:rFonts w:hint="default" w:ascii="Arial" w:hAnsi="Arial" w:cs="Arial"/>
          <w:b/>
          <w:sz w:val="18"/>
          <w:szCs w:val="18"/>
        </w:rPr>
      </w:pPr>
      <w:r>
        <w:rPr>
          <w:rFonts w:hint="default" w:ascii="Arial" w:hAnsi="Arial" w:cs="Arial"/>
          <w:sz w:val="18"/>
          <w:szCs w:val="18"/>
        </w:rPr>
        <w:t xml:space="preserve">17.3.10 comportar-se de modo inidôneo ou cometer fraude de qualquer natureza; </w:t>
      </w:r>
      <w:r>
        <w:rPr>
          <w:rFonts w:hint="default" w:ascii="Arial" w:hAnsi="Arial" w:cs="Arial"/>
          <w:b/>
          <w:sz w:val="18"/>
          <w:szCs w:val="18"/>
        </w:rPr>
        <w:t>30% do valor    do contrato;</w:t>
      </w:r>
    </w:p>
    <w:p w14:paraId="0E7BF69B">
      <w:pPr>
        <w:pStyle w:val="304"/>
        <w:spacing w:before="0" w:after="0" w:line="360" w:lineRule="auto"/>
        <w:ind w:left="0"/>
        <w:rPr>
          <w:rFonts w:hint="default" w:ascii="Arial" w:hAnsi="Arial" w:cs="Arial"/>
          <w:b/>
          <w:sz w:val="18"/>
          <w:szCs w:val="18"/>
        </w:rPr>
      </w:pPr>
      <w:r>
        <w:rPr>
          <w:rFonts w:hint="default" w:ascii="Arial" w:hAnsi="Arial" w:cs="Arial"/>
          <w:sz w:val="18"/>
          <w:szCs w:val="18"/>
        </w:rPr>
        <w:t xml:space="preserve">17.3.11 praticar atos ilícitos com vistas a frustrar os objetivos da licitação; </w:t>
      </w:r>
      <w:r>
        <w:rPr>
          <w:rFonts w:hint="default" w:ascii="Arial" w:hAnsi="Arial" w:cs="Arial"/>
          <w:b/>
          <w:sz w:val="18"/>
          <w:szCs w:val="18"/>
        </w:rPr>
        <w:t>30% do valor do contrato;</w:t>
      </w:r>
      <w:bookmarkStart w:id="30" w:name="art155x"/>
      <w:bookmarkEnd w:id="30"/>
      <w:bookmarkStart w:id="31" w:name="art155iii"/>
      <w:bookmarkEnd w:id="31"/>
      <w:bookmarkStart w:id="32" w:name="art155vi"/>
      <w:bookmarkEnd w:id="32"/>
      <w:bookmarkStart w:id="33" w:name="art155ix"/>
      <w:bookmarkEnd w:id="33"/>
      <w:bookmarkStart w:id="34" w:name="art155viii"/>
      <w:bookmarkEnd w:id="34"/>
      <w:bookmarkStart w:id="35" w:name="art155ii"/>
      <w:bookmarkEnd w:id="35"/>
      <w:bookmarkStart w:id="36" w:name="art155v"/>
      <w:bookmarkEnd w:id="36"/>
      <w:bookmarkStart w:id="37" w:name="art155vii"/>
      <w:bookmarkEnd w:id="37"/>
      <w:bookmarkStart w:id="38" w:name="art155iv"/>
      <w:bookmarkEnd w:id="38"/>
    </w:p>
    <w:p w14:paraId="3FB8330A">
      <w:pPr>
        <w:pStyle w:val="304"/>
        <w:spacing w:before="0" w:after="0" w:line="360" w:lineRule="auto"/>
        <w:ind w:left="0"/>
        <w:rPr>
          <w:rFonts w:hint="default" w:ascii="Arial" w:hAnsi="Arial" w:cs="Arial"/>
          <w:sz w:val="18"/>
          <w:szCs w:val="18"/>
        </w:rPr>
      </w:pPr>
      <w:r>
        <w:rPr>
          <w:rFonts w:hint="default" w:ascii="Arial" w:hAnsi="Arial" w:cs="Arial"/>
          <w:sz w:val="18"/>
          <w:szCs w:val="18"/>
        </w:rPr>
        <w:t>17.3.12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11"/>
          <w:rFonts w:hint="default" w:ascii="Arial" w:hAnsi="Arial" w:cs="Arial"/>
          <w:color w:val="auto"/>
          <w:sz w:val="18"/>
          <w:szCs w:val="18"/>
        </w:rPr>
        <w:t>art. 5º da Lei nº 12.846, de 1º de agosto de 2013.</w:t>
      </w:r>
      <w:r>
        <w:rPr>
          <w:rStyle w:val="11"/>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8"/>
      <w:bookmarkEnd w:id="29"/>
    </w:p>
    <w:p w14:paraId="603E051F">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11"/>
          <w:rFonts w:hint="default" w:ascii="Arial" w:hAnsi="Arial" w:cs="Arial"/>
          <w:color w:val="auto"/>
          <w:sz w:val="18"/>
          <w:szCs w:val="18"/>
        </w:rPr>
        <w:t>incisos 17.3.1, 17.3.2, 17.3.3, 17.3.4, 17.3.5 e 17.3.6,</w:t>
      </w:r>
      <w:r>
        <w:rPr>
          <w:rStyle w:val="11"/>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1F5E0968">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17.4.1 A sanção prevista no item 17.3.4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11"/>
          <w:rFonts w:hint="default" w:ascii="Arial" w:hAnsi="Arial" w:cs="Arial"/>
          <w:color w:val="auto"/>
          <w:sz w:val="18"/>
          <w:szCs w:val="18"/>
        </w:rPr>
        <w:t>incisos 17.3.8, 17.3.9, 17.3.10, 17.3.11 e 17.3.12 do </w:t>
      </w:r>
      <w:r>
        <w:rPr>
          <w:rStyle w:val="11"/>
          <w:rFonts w:hint="default" w:ascii="Arial" w:hAnsi="Arial" w:cs="Arial"/>
          <w:bCs/>
          <w:color w:val="auto"/>
          <w:sz w:val="18"/>
          <w:szCs w:val="18"/>
        </w:rPr>
        <w:t>caput</w:t>
      </w:r>
      <w:r>
        <w:rPr>
          <w:rStyle w:val="11"/>
          <w:rFonts w:hint="default" w:ascii="Arial" w:hAnsi="Arial" w:cs="Arial"/>
          <w:color w:val="auto"/>
          <w:sz w:val="18"/>
          <w:szCs w:val="18"/>
        </w:rPr>
        <w:t> do art. 155 da lei 14.133/21</w:t>
      </w:r>
      <w:r>
        <w:rPr>
          <w:rStyle w:val="11"/>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4EE315EF">
      <w:pPr>
        <w:pStyle w:val="304"/>
        <w:spacing w:before="0" w:after="0" w:line="360" w:lineRule="auto"/>
        <w:ind w:left="0"/>
        <w:rPr>
          <w:rFonts w:hint="default" w:ascii="Arial" w:hAnsi="Arial" w:cs="Arial"/>
          <w:color w:val="auto"/>
          <w:sz w:val="18"/>
          <w:szCs w:val="18"/>
        </w:rPr>
      </w:pPr>
      <w:r>
        <w:rPr>
          <w:rFonts w:hint="default" w:ascii="Arial" w:hAnsi="Arial" w:cs="Arial"/>
          <w:color w:val="auto"/>
          <w:sz w:val="18"/>
          <w:szCs w:val="18"/>
        </w:rPr>
        <w:t>17.4.2 A sanção estabelecida no item 17.3.4 será precedida de análise jurídica e observará as seguintes regras:</w:t>
      </w:r>
    </w:p>
    <w:p w14:paraId="7CB11B37">
      <w:pPr>
        <w:pStyle w:val="304"/>
        <w:spacing w:before="0" w:after="0" w:line="360" w:lineRule="auto"/>
        <w:ind w:left="0"/>
        <w:rPr>
          <w:rFonts w:hint="default" w:ascii="Arial" w:hAnsi="Arial" w:cs="Arial"/>
          <w:b w:val="0"/>
          <w:sz w:val="18"/>
          <w:szCs w:val="18"/>
        </w:rPr>
      </w:pPr>
      <w:r>
        <w:rPr>
          <w:rFonts w:hint="default" w:ascii="Arial" w:hAnsi="Arial" w:cs="Arial"/>
          <w:color w:val="auto"/>
          <w:sz w:val="18"/>
          <w:szCs w:val="18"/>
        </w:rPr>
        <w:t xml:space="preserve">17.4.2.1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3A52E3FA">
      <w:pPr>
        <w:pStyle w:val="278"/>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rPr>
        <w:t>17.4.2.3 Se a multa aplicada e as indenizações cabíveis forem superiores ao valor de pagamento eventualmente devido pela Administração ao contratado, além da perda desse valor, a diferença será descontada da garantia prestada ou será cobrada judicialmente.</w:t>
      </w:r>
    </w:p>
    <w:p w14:paraId="2C9AE1E9">
      <w:pPr>
        <w:pStyle w:val="303"/>
        <w:spacing w:before="0" w:after="0" w:line="360" w:lineRule="auto"/>
        <w:rPr>
          <w:rFonts w:hint="default" w:ascii="Arial" w:hAnsi="Arial" w:cs="Arial"/>
          <w:color w:val="auto"/>
          <w:sz w:val="18"/>
          <w:szCs w:val="18"/>
        </w:rPr>
      </w:pPr>
      <w:bookmarkStart w:id="39" w:name="art156§5"/>
      <w:bookmarkEnd w:id="39"/>
      <w:bookmarkStart w:id="40" w:name="art156§4"/>
      <w:bookmarkEnd w:id="40"/>
      <w:bookmarkStart w:id="41" w:name="art156§6"/>
      <w:bookmarkEnd w:id="41"/>
      <w:bookmarkStart w:id="42" w:name="art156§7"/>
      <w:bookmarkEnd w:id="42"/>
      <w:bookmarkStart w:id="43" w:name="art156§3"/>
      <w:bookmarkEnd w:id="43"/>
      <w:bookmarkStart w:id="44" w:name="art156§6ii"/>
      <w:bookmarkEnd w:id="44"/>
      <w:r>
        <w:rPr>
          <w:rFonts w:hint="default" w:ascii="Arial" w:hAnsi="Arial" w:cs="Arial"/>
          <w:color w:val="auto"/>
          <w:sz w:val="18"/>
          <w:szCs w:val="18"/>
        </w:rPr>
        <w:t>17.4.2.4 A aplicação das sanções previstas neste edital não exclui, em hipótese alguma, a obrigação de reparação integral dos danos causados ao Município.</w:t>
      </w:r>
    </w:p>
    <w:p w14:paraId="222C7D33">
      <w:pPr>
        <w:pStyle w:val="303"/>
        <w:spacing w:before="0" w:after="0" w:line="360" w:lineRule="auto"/>
        <w:rPr>
          <w:rFonts w:hint="default" w:ascii="Arial" w:hAnsi="Arial" w:cs="Arial"/>
          <w:color w:val="auto"/>
          <w:sz w:val="18"/>
          <w:szCs w:val="18"/>
        </w:rPr>
      </w:pPr>
      <w:r>
        <w:rPr>
          <w:rFonts w:hint="default" w:ascii="Arial" w:hAnsi="Arial" w:cs="Arial"/>
          <w:color w:val="auto"/>
          <w:sz w:val="18"/>
          <w:szCs w:val="18"/>
        </w:rPr>
        <w:t>17.5 As infrações e sanções deverão ser apuradas por uma comissão processante nomeada para as atribuições.</w:t>
      </w:r>
    </w:p>
    <w:p w14:paraId="248FF604">
      <w:pPr>
        <w:pStyle w:val="303"/>
        <w:spacing w:before="0" w:after="0" w:line="240" w:lineRule="auto"/>
        <w:rPr>
          <w:rFonts w:hint="default" w:ascii="Arial" w:hAnsi="Arial" w:cs="Arial"/>
          <w:color w:val="auto"/>
          <w:sz w:val="18"/>
          <w:szCs w:val="18"/>
        </w:rPr>
      </w:pPr>
    </w:p>
    <w:p w14:paraId="6DC978B9">
      <w:pPr>
        <w:pStyle w:val="303"/>
        <w:numPr>
          <w:ilvl w:val="0"/>
          <w:numId w:val="17"/>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27"/>
    </w:p>
    <w:p w14:paraId="07D2D34E">
      <w:pPr>
        <w:pStyle w:val="303"/>
        <w:tabs>
          <w:tab w:val="left" w:pos="0"/>
        </w:tabs>
        <w:spacing w:before="0" w:after="0" w:line="360" w:lineRule="auto"/>
        <w:rPr>
          <w:rFonts w:hint="default" w:ascii="Arial" w:hAnsi="Arial" w:cs="Arial"/>
          <w:sz w:val="18"/>
          <w:szCs w:val="18"/>
          <w:lang w:val="pt-BR"/>
        </w:rPr>
      </w:pPr>
      <w:r>
        <w:rPr>
          <w:rFonts w:hint="default" w:ascii="Arial" w:hAnsi="Arial" w:cs="Arial"/>
          <w:sz w:val="18"/>
          <w:szCs w:val="18"/>
        </w:rPr>
        <w:t xml:space="preserve">18.1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11"/>
          <w:rFonts w:hint="default" w:ascii="Arial" w:hAnsi="Arial" w:cs="Arial"/>
          <w:sz w:val="18"/>
          <w:szCs w:val="18"/>
        </w:rPr>
        <w:t>Lei nº 14.133, de 2021</w:t>
      </w:r>
      <w:r>
        <w:rPr>
          <w:rStyle w:val="11"/>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cs="Arial"/>
          <w:sz w:val="18"/>
          <w:szCs w:val="18"/>
          <w:lang w:val="pt-BR"/>
        </w:rPr>
        <w:t xml:space="preserve">, sendo o último dia para recebimento da impugnação o dia </w:t>
      </w:r>
      <w:r>
        <w:rPr>
          <w:rFonts w:hint="default" w:cs="Arial"/>
          <w:sz w:val="18"/>
          <w:szCs w:val="18"/>
          <w:u w:val="single"/>
          <w:lang w:val="pt-BR"/>
        </w:rPr>
        <w:t>26</w:t>
      </w:r>
      <w:r>
        <w:rPr>
          <w:rFonts w:hint="default" w:cs="Arial"/>
          <w:sz w:val="18"/>
          <w:szCs w:val="18"/>
          <w:u w:val="single"/>
          <w:lang w:val="pt-BR"/>
        </w:rPr>
        <w:t xml:space="preserve"> de fevereiro de 2026.</w:t>
      </w:r>
    </w:p>
    <w:p w14:paraId="57096A3B">
      <w:pPr>
        <w:pStyle w:val="303"/>
        <w:tabs>
          <w:tab w:val="left" w:pos="426"/>
        </w:tabs>
        <w:spacing w:before="0" w:after="0" w:line="360" w:lineRule="auto"/>
        <w:rPr>
          <w:rFonts w:hint="default" w:ascii="Arial" w:hAnsi="Arial" w:cs="Arial"/>
          <w:sz w:val="18"/>
          <w:szCs w:val="18"/>
        </w:rPr>
      </w:pPr>
      <w:r>
        <w:rPr>
          <w:rFonts w:hint="default" w:ascii="Arial" w:hAnsi="Arial" w:cs="Arial"/>
          <w:sz w:val="18"/>
          <w:szCs w:val="18"/>
        </w:rPr>
        <w:t>18.2 A resposta à impugnação ou ao pedido de esclarecimento será divulgado em sítio eletrônico www.cataguases.mg.gov.br, no prazo de até 3 (três) dias úteis, limitado ao último dia útil anterior à data da abertura do certame.</w:t>
      </w:r>
    </w:p>
    <w:p w14:paraId="4009C70B">
      <w:pPr>
        <w:pStyle w:val="303"/>
        <w:tabs>
          <w:tab w:val="left" w:pos="426"/>
        </w:tabs>
        <w:spacing w:before="0" w:after="0" w:line="360" w:lineRule="auto"/>
        <w:rPr>
          <w:rFonts w:hint="default" w:ascii="Arial" w:hAnsi="Arial" w:cs="Arial"/>
          <w:color w:val="auto"/>
          <w:sz w:val="18"/>
          <w:szCs w:val="18"/>
        </w:rPr>
      </w:pPr>
      <w:r>
        <w:rPr>
          <w:rFonts w:hint="default" w:ascii="Arial" w:hAnsi="Arial" w:cs="Arial"/>
          <w:sz w:val="18"/>
          <w:szCs w:val="18"/>
        </w:rPr>
        <w:t xml:space="preserve">18.3 A impugnação e o pedido de esclarecimento poderão ser realizados por </w:t>
      </w:r>
      <w:r>
        <w:rPr>
          <w:rFonts w:hint="default" w:ascii="Arial" w:hAnsi="Arial" w:cs="Arial"/>
          <w:iCs/>
          <w:color w:val="auto"/>
          <w:sz w:val="18"/>
          <w:szCs w:val="18"/>
        </w:rPr>
        <w:t>meio de endereço eletrônico: pregaocataguases@gmail.com</w:t>
      </w:r>
    </w:p>
    <w:p w14:paraId="026D76B6">
      <w:pPr>
        <w:pStyle w:val="303"/>
        <w:tabs>
          <w:tab w:val="left" w:pos="567"/>
        </w:tabs>
        <w:spacing w:before="0" w:after="0" w:line="360" w:lineRule="auto"/>
        <w:rPr>
          <w:rFonts w:hint="default" w:ascii="Arial" w:hAnsi="Arial" w:cs="Arial"/>
          <w:sz w:val="18"/>
          <w:szCs w:val="18"/>
        </w:rPr>
      </w:pPr>
      <w:r>
        <w:rPr>
          <w:rFonts w:hint="default" w:ascii="Arial" w:hAnsi="Arial" w:cs="Arial"/>
          <w:sz w:val="18"/>
          <w:szCs w:val="18"/>
        </w:rPr>
        <w:t>18.4 As impugnações e pedidos de esclarecimentos não suspendem os prazos previstos no certame.</w:t>
      </w:r>
    </w:p>
    <w:p w14:paraId="52B44DF4">
      <w:pPr>
        <w:pStyle w:val="304"/>
        <w:spacing w:before="0" w:after="0" w:line="360" w:lineRule="auto"/>
        <w:ind w:left="0"/>
        <w:rPr>
          <w:rFonts w:hint="default" w:ascii="Arial" w:hAnsi="Arial" w:cs="Arial"/>
          <w:sz w:val="18"/>
          <w:szCs w:val="18"/>
        </w:rPr>
      </w:pPr>
      <w:r>
        <w:rPr>
          <w:rFonts w:hint="default" w:ascii="Arial" w:hAnsi="Arial" w:cs="Arial"/>
          <w:sz w:val="18"/>
          <w:szCs w:val="18"/>
        </w:rPr>
        <w:t>18.5 A concessão de efeito suspensivo à impugnação é medida excepcional e deverá ser motivada pelo agente de contratação, nos autos do processo de licitação.</w:t>
      </w:r>
    </w:p>
    <w:p w14:paraId="5BE9A2E1">
      <w:pPr>
        <w:pStyle w:val="303"/>
        <w:tabs>
          <w:tab w:val="left" w:pos="426"/>
        </w:tabs>
        <w:spacing w:before="0" w:after="0" w:line="360" w:lineRule="auto"/>
        <w:rPr>
          <w:rFonts w:hint="default" w:ascii="Arial" w:hAnsi="Arial" w:cs="Arial"/>
          <w:sz w:val="18"/>
          <w:szCs w:val="18"/>
        </w:rPr>
      </w:pPr>
      <w:r>
        <w:rPr>
          <w:rFonts w:hint="default" w:ascii="Arial" w:hAnsi="Arial" w:cs="Arial"/>
          <w:sz w:val="18"/>
          <w:szCs w:val="18"/>
        </w:rPr>
        <w:t>18.6 Acolhida a impugnação, será definida e publicada nova data para a realização do certame.</w:t>
      </w:r>
    </w:p>
    <w:p w14:paraId="74A0DA1C">
      <w:pPr>
        <w:pStyle w:val="278"/>
        <w:numPr>
          <w:ilvl w:val="0"/>
          <w:numId w:val="0"/>
        </w:numPr>
        <w:spacing w:before="0"/>
        <w:rPr>
          <w:rFonts w:hint="default" w:ascii="Arial" w:hAnsi="Arial" w:cs="Arial"/>
          <w:sz w:val="18"/>
          <w:szCs w:val="18"/>
        </w:rPr>
      </w:pPr>
      <w:bookmarkStart w:id="45" w:name="_Toc135469236"/>
    </w:p>
    <w:p w14:paraId="4FD99627">
      <w:pPr>
        <w:pStyle w:val="278"/>
        <w:numPr>
          <w:ilvl w:val="0"/>
          <w:numId w:val="0"/>
        </w:numPr>
        <w:spacing w:before="0" w:line="360" w:lineRule="auto"/>
        <w:rPr>
          <w:rFonts w:hint="default" w:ascii="Arial" w:hAnsi="Arial" w:cs="Arial"/>
          <w:sz w:val="18"/>
          <w:szCs w:val="18"/>
        </w:rPr>
      </w:pPr>
      <w:r>
        <w:rPr>
          <w:rFonts w:hint="default" w:ascii="Arial" w:hAnsi="Arial" w:cs="Arial"/>
          <w:sz w:val="18"/>
          <w:szCs w:val="18"/>
        </w:rPr>
        <w:t>19. DAS DISPOSIÇÕES GERAIS</w:t>
      </w:r>
      <w:bookmarkEnd w:id="45"/>
    </w:p>
    <w:p w14:paraId="6B457B6D">
      <w:pPr>
        <w:pStyle w:val="303"/>
        <w:spacing w:before="0" w:after="0" w:line="360" w:lineRule="auto"/>
        <w:rPr>
          <w:rFonts w:hint="default" w:ascii="Arial" w:hAnsi="Arial" w:cs="Arial"/>
          <w:sz w:val="18"/>
          <w:szCs w:val="18"/>
        </w:rPr>
      </w:pPr>
      <w:r>
        <w:rPr>
          <w:rFonts w:hint="default" w:ascii="Arial" w:hAnsi="Arial" w:cs="Arial"/>
          <w:sz w:val="18"/>
          <w:szCs w:val="18"/>
          <w:lang w:eastAsia="ar-SA"/>
        </w:rPr>
        <w:t>19.1</w:t>
      </w:r>
      <w:r>
        <w:rPr>
          <w:rFonts w:hint="default" w:ascii="Arial" w:hAnsi="Arial" w:cs="Arial"/>
          <w:sz w:val="18"/>
          <w:szCs w:val="18"/>
        </w:rPr>
        <w:t xml:space="preserve"> Será divulgada ata da sessão pública no sistema eletrônico.</w:t>
      </w:r>
    </w:p>
    <w:p w14:paraId="2FB594BD">
      <w:pPr>
        <w:pStyle w:val="303"/>
        <w:spacing w:before="0" w:after="0" w:line="360" w:lineRule="auto"/>
        <w:rPr>
          <w:rFonts w:hint="default" w:ascii="Arial" w:hAnsi="Arial" w:cs="Arial"/>
          <w:sz w:val="18"/>
          <w:szCs w:val="18"/>
        </w:rPr>
      </w:pPr>
      <w:r>
        <w:rPr>
          <w:rFonts w:hint="default" w:ascii="Arial" w:hAnsi="Arial" w:cs="Arial"/>
          <w:sz w:val="18"/>
          <w:szCs w:val="18"/>
        </w:rPr>
        <w:t>19.2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CE2FEDA">
      <w:pPr>
        <w:pStyle w:val="303"/>
        <w:spacing w:before="0" w:after="0" w:line="360" w:lineRule="auto"/>
        <w:rPr>
          <w:rFonts w:hint="default" w:ascii="Arial" w:hAnsi="Arial" w:cs="Arial"/>
          <w:sz w:val="18"/>
          <w:szCs w:val="18"/>
        </w:rPr>
      </w:pPr>
      <w:r>
        <w:rPr>
          <w:rFonts w:hint="default" w:ascii="Arial" w:hAnsi="Arial" w:cs="Arial"/>
          <w:sz w:val="18"/>
          <w:szCs w:val="18"/>
        </w:rPr>
        <w:t>19.2 Todas as referências de tempo no Edital, no aviso e durante a sessão pública observarão o horário de Brasília - DF.</w:t>
      </w:r>
    </w:p>
    <w:p w14:paraId="2B368B1A">
      <w:pPr>
        <w:pStyle w:val="303"/>
        <w:spacing w:before="0" w:after="0" w:line="360" w:lineRule="auto"/>
        <w:rPr>
          <w:rFonts w:hint="default" w:ascii="Arial" w:hAnsi="Arial" w:cs="Arial"/>
          <w:sz w:val="18"/>
          <w:szCs w:val="18"/>
        </w:rPr>
      </w:pPr>
      <w:r>
        <w:rPr>
          <w:rFonts w:hint="default" w:ascii="Arial" w:hAnsi="Arial" w:cs="Arial"/>
          <w:sz w:val="18"/>
          <w:szCs w:val="18"/>
        </w:rPr>
        <w:t>19.3 A homologação do resultado desta licitação não implicará direito à contratação.</w:t>
      </w:r>
    </w:p>
    <w:p w14:paraId="1F4A37D3">
      <w:pPr>
        <w:pStyle w:val="303"/>
        <w:spacing w:before="0" w:after="0" w:line="360" w:lineRule="auto"/>
        <w:rPr>
          <w:rFonts w:hint="default" w:ascii="Arial" w:hAnsi="Arial" w:cs="Arial"/>
          <w:sz w:val="18"/>
          <w:szCs w:val="18"/>
        </w:rPr>
      </w:pPr>
      <w:r>
        <w:rPr>
          <w:rFonts w:hint="default" w:ascii="Arial" w:hAnsi="Arial" w:cs="Arial"/>
          <w:sz w:val="18"/>
          <w:szCs w:val="18"/>
        </w:rPr>
        <w:t xml:space="preserve">19.4 As normas disciplinadoras da licitação serão sempre interpretadas em favor da ampliação da disputa entre os interessados, desde que não comprometam o interesse da Administração, o princípio da isonomia, a finalidade e a segurança da contratação. </w:t>
      </w:r>
    </w:p>
    <w:p w14:paraId="45A3C214">
      <w:pPr>
        <w:pStyle w:val="303"/>
        <w:spacing w:before="0" w:after="0" w:line="360" w:lineRule="auto"/>
        <w:rPr>
          <w:rFonts w:hint="default" w:ascii="Arial" w:hAnsi="Arial" w:cs="Arial"/>
          <w:sz w:val="18"/>
          <w:szCs w:val="18"/>
        </w:rPr>
      </w:pPr>
      <w:r>
        <w:rPr>
          <w:rFonts w:hint="default" w:ascii="Arial" w:hAnsi="Arial" w:cs="Arial"/>
          <w:sz w:val="18"/>
          <w:szCs w:val="18"/>
        </w:rPr>
        <w:t>19.5 Os licitantes assumem todos os custos de preparação e apresentação de suas propostas e a Administração não será, em nenhum caso, responsável por esses custos, independentemente da condução ou do resultado do processo licitatório.</w:t>
      </w:r>
    </w:p>
    <w:p w14:paraId="3CA6BBFF">
      <w:pPr>
        <w:pStyle w:val="303"/>
        <w:spacing w:before="0" w:after="0" w:line="360" w:lineRule="auto"/>
        <w:rPr>
          <w:rFonts w:hint="default" w:ascii="Arial" w:hAnsi="Arial" w:cs="Arial"/>
          <w:sz w:val="18"/>
          <w:szCs w:val="18"/>
        </w:rPr>
      </w:pPr>
      <w:r>
        <w:rPr>
          <w:rFonts w:hint="default" w:ascii="Arial" w:hAnsi="Arial" w:cs="Arial"/>
          <w:sz w:val="18"/>
          <w:szCs w:val="18"/>
        </w:rPr>
        <w:t>19.6 Na contagem dos prazos estabelecidos neste Edital e seus Anexos, excluir-se-á o dia do início e incluir-se-á o do vencimento. Só se iniciam e vencem os prazos em dias de expediente na Administração.</w:t>
      </w:r>
    </w:p>
    <w:p w14:paraId="0D5CFE35">
      <w:pPr>
        <w:pStyle w:val="303"/>
        <w:spacing w:before="0" w:after="0" w:line="360" w:lineRule="auto"/>
        <w:rPr>
          <w:rFonts w:hint="default" w:ascii="Arial" w:hAnsi="Arial" w:cs="Arial"/>
          <w:sz w:val="18"/>
          <w:szCs w:val="18"/>
        </w:rPr>
      </w:pPr>
      <w:bookmarkStart w:id="46" w:name="_Hlk158877578"/>
      <w:r>
        <w:rPr>
          <w:rFonts w:hint="default" w:eastAsia="SimSun" w:cs="Arial"/>
          <w:sz w:val="18"/>
          <w:szCs w:val="18"/>
          <w:lang w:val="pt-BR"/>
        </w:rPr>
        <w:t xml:space="preserve">19.7 </w:t>
      </w:r>
      <w:r>
        <w:rPr>
          <w:rFonts w:hint="default" w:ascii="Arial" w:hAnsi="Arial" w:eastAsia="SimSun" w:cs="Arial"/>
          <w:sz w:val="18"/>
          <w:szCs w:val="18"/>
        </w:rPr>
        <w:t xml:space="preserve">Considerando princípios como a razoabilidade, a eficiência e a busca pela proposta mais vantajosa, será admitida </w:t>
      </w:r>
      <w:r>
        <w:rPr>
          <w:rStyle w:val="6"/>
          <w:rFonts w:hint="default" w:ascii="Arial" w:hAnsi="Arial" w:eastAsia="SimSun" w:cs="Arial"/>
          <w:sz w:val="18"/>
          <w:szCs w:val="18"/>
        </w:rPr>
        <w:t>tolerância de até 05 (cinco) minutos</w:t>
      </w:r>
      <w:r>
        <w:rPr>
          <w:rFonts w:hint="default" w:ascii="Arial" w:hAnsi="Arial" w:eastAsia="SimSun" w:cs="Arial"/>
          <w:sz w:val="18"/>
          <w:szCs w:val="18"/>
        </w:rPr>
        <w:t xml:space="preserve"> após o término do prazo inicialmente estabelecido</w:t>
      </w:r>
      <w:r>
        <w:rPr>
          <w:rFonts w:hint="default" w:ascii="Arial" w:hAnsi="Arial" w:eastAsia="SimSun" w:cs="Arial"/>
          <w:sz w:val="18"/>
          <w:szCs w:val="18"/>
          <w:lang w:val="pt-BR"/>
        </w:rPr>
        <w:t xml:space="preserve"> pelo agente de contratação ou pregoeiro para o envio da documentação (proposta e habilitação)</w:t>
      </w:r>
      <w:r>
        <w:rPr>
          <w:rFonts w:hint="default" w:ascii="Arial" w:hAnsi="Arial" w:eastAsia="SimSun" w:cs="Arial"/>
          <w:sz w:val="18"/>
          <w:szCs w:val="18"/>
        </w:rPr>
        <w:t>.</w:t>
      </w:r>
    </w:p>
    <w:p w14:paraId="5579452C">
      <w:pPr>
        <w:pStyle w:val="303"/>
        <w:spacing w:before="0" w:after="0" w:line="360" w:lineRule="auto"/>
        <w:rPr>
          <w:rFonts w:hint="default" w:ascii="Arial" w:hAnsi="Arial" w:cs="Arial"/>
          <w:sz w:val="18"/>
          <w:szCs w:val="18"/>
        </w:rPr>
      </w:pPr>
      <w:r>
        <w:rPr>
          <w:rFonts w:hint="default" w:ascii="Arial" w:hAnsi="Arial" w:cs="Arial"/>
          <w:sz w:val="18"/>
          <w:szCs w:val="18"/>
        </w:rPr>
        <w:t>19.</w:t>
      </w:r>
      <w:r>
        <w:rPr>
          <w:rFonts w:hint="default" w:cs="Arial"/>
          <w:sz w:val="18"/>
          <w:szCs w:val="18"/>
          <w:lang w:val="pt-BR"/>
        </w:rPr>
        <w:t xml:space="preserve">8 </w:t>
      </w:r>
      <w:r>
        <w:rPr>
          <w:rFonts w:hint="default" w:ascii="Arial" w:hAnsi="Arial" w:cs="Arial"/>
          <w:sz w:val="18"/>
          <w:szCs w:val="18"/>
        </w:rPr>
        <w:t>O desatendimento de exigências formais não essenciais não importará o afastamento do licitante, desde que seja possível o aproveitamento do ato, observados os princípios da isonomia e do interesse público.</w:t>
      </w:r>
    </w:p>
    <w:p w14:paraId="2645EAFC">
      <w:pPr>
        <w:pStyle w:val="303"/>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9</w:t>
      </w:r>
      <w:r>
        <w:rPr>
          <w:rFonts w:hint="default" w:ascii="Arial" w:hAnsi="Arial" w:cs="Arial"/>
          <w:sz w:val="18"/>
          <w:szCs w:val="18"/>
        </w:rPr>
        <w:t xml:space="preserve"> Em caso de divergência entre disposições deste Edital e de seus anexos ou demais peças que compõem o processo, prevalecerá as deste Edital.</w:t>
      </w:r>
    </w:p>
    <w:p w14:paraId="57B9A684">
      <w:pPr>
        <w:pStyle w:val="303"/>
        <w:spacing w:before="0" w:after="0" w:line="360" w:lineRule="auto"/>
        <w:rPr>
          <w:rFonts w:hint="default" w:ascii="Arial" w:hAnsi="Arial" w:eastAsia="Times New Roman" w:cs="Arial"/>
          <w:sz w:val="18"/>
          <w:szCs w:val="18"/>
        </w:rPr>
      </w:pPr>
      <w:r>
        <w:rPr>
          <w:rFonts w:hint="default" w:ascii="Arial" w:hAnsi="Arial" w:cs="Arial"/>
          <w:sz w:val="18"/>
          <w:szCs w:val="18"/>
        </w:rPr>
        <w:t>19.</w:t>
      </w:r>
      <w:r>
        <w:rPr>
          <w:rFonts w:hint="default" w:cs="Arial"/>
          <w:sz w:val="18"/>
          <w:szCs w:val="18"/>
          <w:lang w:val="pt-BR"/>
        </w:rPr>
        <w:t>10</w:t>
      </w:r>
      <w:r>
        <w:rPr>
          <w:rFonts w:hint="default" w:ascii="Arial" w:hAnsi="Arial" w:cs="Arial"/>
          <w:sz w:val="18"/>
          <w:szCs w:val="18"/>
        </w:rPr>
        <w:t xml:space="preserve">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11"/>
          <w:rFonts w:hint="default" w:ascii="Arial" w:hAnsi="Arial" w:cs="Arial"/>
          <w:sz w:val="18"/>
          <w:szCs w:val="18"/>
        </w:rPr>
        <w:t>www.compras.gov.br</w:t>
      </w:r>
      <w:r>
        <w:rPr>
          <w:rStyle w:val="11"/>
          <w:rFonts w:hint="default" w:ascii="Arial" w:hAnsi="Arial" w:cs="Arial"/>
          <w:sz w:val="18"/>
          <w:szCs w:val="18"/>
        </w:rPr>
        <w:fldChar w:fldCharType="end"/>
      </w:r>
      <w:r>
        <w:rPr>
          <w:rFonts w:hint="default" w:ascii="Arial" w:hAnsi="Arial" w:cs="Arial"/>
          <w:sz w:val="18"/>
          <w:szCs w:val="18"/>
        </w:rPr>
        <w:t xml:space="preserve"> e www.cataguases.mg.gov.br</w:t>
      </w:r>
    </w:p>
    <w:p w14:paraId="3408519F">
      <w:pPr>
        <w:pStyle w:val="303"/>
        <w:spacing w:before="0" w:after="0" w:line="360" w:lineRule="auto"/>
        <w:rPr>
          <w:rFonts w:hint="default" w:ascii="Arial" w:hAnsi="Arial" w:eastAsia="Times New Roman" w:cs="Arial"/>
          <w:sz w:val="18"/>
          <w:szCs w:val="18"/>
        </w:rPr>
      </w:pPr>
      <w:r>
        <w:rPr>
          <w:rFonts w:hint="default" w:ascii="Arial" w:hAnsi="Arial" w:cs="Arial"/>
          <w:sz w:val="18"/>
          <w:szCs w:val="18"/>
        </w:rPr>
        <w:t>19.1</w:t>
      </w:r>
      <w:r>
        <w:rPr>
          <w:rFonts w:hint="default" w:cs="Arial"/>
          <w:sz w:val="18"/>
          <w:szCs w:val="18"/>
          <w:lang w:val="pt-BR"/>
        </w:rPr>
        <w:t>1</w:t>
      </w:r>
      <w:r>
        <w:rPr>
          <w:rFonts w:hint="default" w:ascii="Arial" w:hAnsi="Arial" w:cs="Arial"/>
          <w:sz w:val="18"/>
          <w:szCs w:val="18"/>
        </w:rPr>
        <w:t xml:space="preserve"> Integram este Edital, para todos os fins e efeitos, os seguintes anexos:</w:t>
      </w:r>
    </w:p>
    <w:p w14:paraId="476AD132">
      <w:pPr>
        <w:pStyle w:val="304"/>
        <w:spacing w:before="0" w:after="0" w:line="360" w:lineRule="auto"/>
        <w:ind w:left="0"/>
        <w:rPr>
          <w:rFonts w:hint="default" w:ascii="Arial" w:hAnsi="Arial" w:cs="Arial"/>
          <w:sz w:val="18"/>
          <w:szCs w:val="18"/>
        </w:rPr>
      </w:pPr>
      <w:r>
        <w:rPr>
          <w:rFonts w:hint="default" w:ascii="Arial" w:hAnsi="Arial" w:cs="Arial"/>
          <w:sz w:val="18"/>
          <w:szCs w:val="18"/>
        </w:rPr>
        <w:t>Anexo I - Termo de Referência</w:t>
      </w:r>
    </w:p>
    <w:p w14:paraId="1F86471F">
      <w:pPr>
        <w:pStyle w:val="305"/>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3EAC10D8">
      <w:pPr>
        <w:pStyle w:val="304"/>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0AF416FA">
      <w:pPr>
        <w:pStyle w:val="304"/>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IV - MODELO DE DECLARAÇÃO </w:t>
      </w:r>
      <w:r>
        <w:rPr>
          <w:rFonts w:hint="default" w:cs="Arial"/>
          <w:sz w:val="18"/>
          <w:szCs w:val="18"/>
          <w:lang w:val="pt-BR"/>
        </w:rPr>
        <w:t>UNIFICADA</w:t>
      </w:r>
    </w:p>
    <w:bookmarkEnd w:id="46"/>
    <w:p w14:paraId="05755CA4">
      <w:pPr>
        <w:pStyle w:val="304"/>
        <w:spacing w:before="0" w:after="0" w:line="360" w:lineRule="auto"/>
        <w:ind w:left="0"/>
        <w:rPr>
          <w:rFonts w:hint="default" w:ascii="Arial" w:hAnsi="Arial" w:cs="Arial"/>
          <w:sz w:val="18"/>
          <w:szCs w:val="18"/>
          <w:lang w:val="pt-BR"/>
        </w:rPr>
      </w:pPr>
      <w:r>
        <w:rPr>
          <w:rFonts w:hint="default" w:ascii="Arial" w:hAnsi="Arial" w:cs="Arial"/>
          <w:sz w:val="18"/>
          <w:szCs w:val="18"/>
          <w:lang w:val="pt-BR"/>
        </w:rPr>
        <w:t xml:space="preserve">Anexo </w:t>
      </w:r>
      <w:r>
        <w:rPr>
          <w:rFonts w:hint="default" w:cs="Arial"/>
          <w:sz w:val="18"/>
          <w:szCs w:val="18"/>
          <w:lang w:val="pt-BR"/>
        </w:rPr>
        <w:t>V</w:t>
      </w:r>
      <w:r>
        <w:rPr>
          <w:rFonts w:hint="default" w:ascii="Arial" w:hAnsi="Arial" w:cs="Arial"/>
          <w:sz w:val="18"/>
          <w:szCs w:val="18"/>
          <w:lang w:val="pt-BR"/>
        </w:rPr>
        <w:t>- MODELO DE ENQUADRAMENTO DE ME/EPP/EQUIPARADAS</w:t>
      </w:r>
    </w:p>
    <w:p w14:paraId="69EC2EDB">
      <w:pPr>
        <w:pStyle w:val="304"/>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VI</w:t>
      </w:r>
      <w:r>
        <w:rPr>
          <w:rFonts w:hint="default" w:ascii="Arial" w:hAnsi="Arial" w:cs="Arial"/>
          <w:sz w:val="18"/>
          <w:szCs w:val="18"/>
        </w:rPr>
        <w:t xml:space="preserve">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7EF22980">
      <w:pPr>
        <w:pStyle w:val="304"/>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w:t>
      </w:r>
      <w:r>
        <w:rPr>
          <w:rFonts w:hint="default" w:cs="Arial"/>
          <w:sz w:val="18"/>
          <w:szCs w:val="18"/>
          <w:lang w:val="pt-BR"/>
        </w:rPr>
        <w:t>VII</w:t>
      </w:r>
      <w:r>
        <w:rPr>
          <w:rFonts w:hint="default" w:ascii="Arial" w:hAnsi="Arial" w:cs="Arial"/>
          <w:sz w:val="18"/>
          <w:szCs w:val="18"/>
        </w:rPr>
        <w:t xml:space="preserve"> - Estudo técnico preliminar (ETP)</w:t>
      </w:r>
      <w:r>
        <w:rPr>
          <w:rFonts w:hint="default" w:cs="Arial"/>
          <w:sz w:val="18"/>
          <w:szCs w:val="18"/>
          <w:lang w:val="pt-BR"/>
        </w:rPr>
        <w:t>, mapa de risco e demandas</w:t>
      </w:r>
    </w:p>
    <w:p w14:paraId="6A45CE95">
      <w:pPr>
        <w:pStyle w:val="304"/>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 xml:space="preserve">VIII </w:t>
      </w:r>
      <w:r>
        <w:rPr>
          <w:rFonts w:hint="default" w:ascii="Arial" w:hAnsi="Arial" w:cs="Arial"/>
          <w:sz w:val="18"/>
          <w:szCs w:val="18"/>
        </w:rPr>
        <w:t>- Decreto 5.811/2023 (IR)</w:t>
      </w:r>
    </w:p>
    <w:p w14:paraId="6B1E8229">
      <w:pPr>
        <w:pStyle w:val="304"/>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I</w:t>
      </w:r>
      <w:r>
        <w:rPr>
          <w:rFonts w:hint="default" w:ascii="Arial" w:hAnsi="Arial" w:cs="Arial"/>
          <w:sz w:val="18"/>
          <w:szCs w:val="18"/>
        </w:rPr>
        <w:t xml:space="preserve">X - </w:t>
      </w:r>
      <w:r>
        <w:rPr>
          <w:rFonts w:hint="default" w:cs="Arial"/>
          <w:sz w:val="18"/>
          <w:szCs w:val="18"/>
          <w:lang w:val="pt-BR"/>
        </w:rPr>
        <w:t>Ofício e t</w:t>
      </w:r>
      <w:r>
        <w:rPr>
          <w:rFonts w:hint="default" w:ascii="Arial" w:hAnsi="Arial" w:cs="Arial"/>
          <w:sz w:val="18"/>
          <w:szCs w:val="18"/>
        </w:rPr>
        <w:t>ermo de referência</w:t>
      </w:r>
    </w:p>
    <w:p w14:paraId="57777C01">
      <w:pPr>
        <w:pStyle w:val="304"/>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 xml:space="preserve"> - Relação dos itens no ComprasGovernamentais</w:t>
      </w:r>
    </w:p>
    <w:p w14:paraId="168EDB9A">
      <w:pPr>
        <w:pStyle w:val="298"/>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XI - L</w:t>
      </w:r>
      <w:r>
        <w:rPr>
          <w:rFonts w:hint="default" w:ascii="Arial" w:hAnsi="Arial" w:cs="Arial"/>
          <w:bCs/>
          <w:color w:val="000000"/>
          <w:sz w:val="18"/>
          <w:szCs w:val="18"/>
        </w:rPr>
        <w:t>ei 4.853/2022</w:t>
      </w:r>
    </w:p>
    <w:p w14:paraId="4CCCCD5F">
      <w:pPr>
        <w:pStyle w:val="298"/>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XII -  L</w:t>
      </w:r>
      <w:r>
        <w:rPr>
          <w:rFonts w:hint="default" w:ascii="Arial" w:hAnsi="Arial" w:cs="Arial"/>
          <w:bCs/>
          <w:color w:val="000000"/>
          <w:sz w:val="18"/>
          <w:szCs w:val="18"/>
        </w:rPr>
        <w:t xml:space="preserve">ei 4.971/2023 </w:t>
      </w:r>
    </w:p>
    <w:p w14:paraId="68F16E08">
      <w:pPr>
        <w:pStyle w:val="298"/>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XIII - Parecer jurídico abertura</w:t>
      </w:r>
    </w:p>
    <w:p w14:paraId="1CCD2E25">
      <w:pPr>
        <w:pStyle w:val="304"/>
        <w:spacing w:before="0" w:after="0" w:line="240" w:lineRule="auto"/>
        <w:ind w:left="0"/>
        <w:rPr>
          <w:rFonts w:hint="default" w:ascii="Arial" w:hAnsi="Arial" w:cs="Arial"/>
          <w:sz w:val="18"/>
          <w:szCs w:val="18"/>
        </w:rPr>
      </w:pPr>
    </w:p>
    <w:p w14:paraId="6CD8DE89">
      <w:pPr>
        <w:pStyle w:val="284"/>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eastAsia="ar-SA"/>
        </w:rPr>
        <w:t>20 O FORO</w:t>
      </w:r>
    </w:p>
    <w:p w14:paraId="47E658BF">
      <w:pPr>
        <w:pStyle w:val="268"/>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w:t>
      </w:r>
      <w:r>
        <w:rPr>
          <w:rFonts w:hint="default" w:ascii="Arial" w:hAnsi="Arial" w:cs="Arial"/>
          <w:sz w:val="18"/>
          <w:szCs w:val="18"/>
          <w:lang w:val="pt-BR" w:eastAsia="ar-SA"/>
        </w:rPr>
        <w:t>2</w:t>
      </w:r>
      <w:r>
        <w:rPr>
          <w:rFonts w:hint="default" w:ascii="Arial" w:hAnsi="Arial" w:cs="Arial"/>
          <w:sz w:val="18"/>
          <w:szCs w:val="18"/>
          <w:lang w:eastAsia="ar-SA"/>
        </w:rPr>
        <w:t>.153/2.009 ou do art. 59, da Lei Complementar Estadual nº 059/2001.</w:t>
      </w:r>
    </w:p>
    <w:p w14:paraId="7C1995C8">
      <w:pPr>
        <w:spacing w:line="360" w:lineRule="auto"/>
        <w:rPr>
          <w:rFonts w:hint="default" w:ascii="Arial" w:hAnsi="Arial" w:cs="Arial"/>
          <w:sz w:val="18"/>
          <w:szCs w:val="18"/>
          <w:lang w:val="pt-BR"/>
        </w:rPr>
      </w:pPr>
      <w:r>
        <w:rPr>
          <w:rFonts w:hint="default" w:ascii="Arial" w:hAnsi="Arial" w:cs="Arial"/>
          <w:sz w:val="18"/>
          <w:szCs w:val="18"/>
        </w:rPr>
        <w:t>Cataguases,</w:t>
      </w:r>
      <w:r>
        <w:rPr>
          <w:rFonts w:hint="default" w:ascii="Arial" w:hAnsi="Arial" w:cs="Arial"/>
          <w:sz w:val="18"/>
          <w:szCs w:val="18"/>
          <w:lang w:val="pt-BR"/>
        </w:rPr>
        <w:t xml:space="preserve"> 12 de fevereiro de 2026.</w:t>
      </w:r>
    </w:p>
    <w:p w14:paraId="0F11E866">
      <w:pPr>
        <w:ind w:firstLine="567"/>
        <w:jc w:val="center"/>
        <w:rPr>
          <w:rFonts w:hint="default" w:ascii="Arial" w:hAnsi="Arial" w:cs="Arial"/>
          <w:sz w:val="18"/>
          <w:szCs w:val="18"/>
        </w:rPr>
      </w:pPr>
    </w:p>
    <w:p w14:paraId="300E3FC3">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4A558503">
      <w:pPr>
        <w:ind w:firstLine="567"/>
        <w:jc w:val="center"/>
        <w:rPr>
          <w:rFonts w:hint="default" w:ascii="Arial" w:hAnsi="Arial" w:cs="Arial"/>
          <w:b/>
          <w:bCs/>
          <w:sz w:val="18"/>
          <w:szCs w:val="18"/>
        </w:rPr>
      </w:pPr>
      <w:r>
        <w:rPr>
          <w:rFonts w:hint="default" w:ascii="Arial" w:hAnsi="Arial" w:cs="Arial"/>
          <w:b/>
          <w:bCs/>
          <w:sz w:val="18"/>
          <w:szCs w:val="18"/>
        </w:rPr>
        <w:t>José Henriques</w:t>
      </w:r>
    </w:p>
    <w:p w14:paraId="0871760C">
      <w:pPr>
        <w:ind w:firstLine="567"/>
        <w:jc w:val="center"/>
        <w:rPr>
          <w:rFonts w:ascii="Arial" w:hAnsi="Arial" w:cs="Arial"/>
          <w:b/>
          <w:bCs/>
          <w:color w:val="auto"/>
          <w:sz w:val="32"/>
          <w:szCs w:val="32"/>
        </w:rPr>
      </w:pPr>
      <w:r>
        <w:rPr>
          <w:rFonts w:hint="default" w:ascii="Arial" w:hAnsi="Arial" w:cs="Arial"/>
          <w:b/>
          <w:bCs/>
          <w:sz w:val="18"/>
          <w:szCs w:val="18"/>
        </w:rPr>
        <w:t>Prefeito de Cataguases</w:t>
      </w:r>
    </w:p>
    <w:p w14:paraId="1FB95994">
      <w:pPr>
        <w:rPr>
          <w:rFonts w:ascii="Arial" w:hAnsi="Arial" w:cs="Arial"/>
          <w:b/>
          <w:bCs/>
          <w:color w:val="auto"/>
          <w:sz w:val="32"/>
          <w:szCs w:val="32"/>
        </w:rPr>
      </w:pPr>
      <w:r>
        <w:rPr>
          <w:rFonts w:ascii="Arial" w:hAnsi="Arial" w:cs="Arial"/>
          <w:b/>
          <w:bCs/>
          <w:color w:val="auto"/>
          <w:sz w:val="32"/>
          <w:szCs w:val="32"/>
        </w:rPr>
        <w:br w:type="page"/>
      </w:r>
    </w:p>
    <w:p w14:paraId="7B855739">
      <w:pPr>
        <w:jc w:val="center"/>
        <w:rPr>
          <w:rFonts w:ascii="Arial" w:hAnsi="Arial" w:cs="Arial"/>
          <w:b/>
          <w:bCs/>
          <w:color w:val="auto"/>
          <w:sz w:val="32"/>
          <w:szCs w:val="32"/>
        </w:rPr>
      </w:pPr>
      <w:r>
        <w:rPr>
          <w:rFonts w:ascii="Arial" w:hAnsi="Arial" w:cs="Arial"/>
          <w:b/>
          <w:bCs/>
          <w:color w:val="auto"/>
          <w:sz w:val="32"/>
          <w:szCs w:val="32"/>
        </w:rPr>
        <w:t xml:space="preserve">ANEXO I </w:t>
      </w:r>
    </w:p>
    <w:p w14:paraId="65CE82C9">
      <w:pPr>
        <w:jc w:val="center"/>
        <w:rPr>
          <w:rFonts w:ascii="Arial" w:hAnsi="Arial" w:cs="Arial"/>
          <w:b/>
          <w:bCs/>
          <w:color w:val="auto"/>
          <w:sz w:val="20"/>
          <w:szCs w:val="20"/>
        </w:rPr>
      </w:pPr>
    </w:p>
    <w:p w14:paraId="2C24B9BE">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010/2026</w:t>
      </w:r>
    </w:p>
    <w:p w14:paraId="7E3385EA">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004/2026</w:t>
      </w:r>
    </w:p>
    <w:p w14:paraId="190AC4D0">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004/2026</w:t>
      </w:r>
    </w:p>
    <w:p w14:paraId="5C3425F6">
      <w:pPr>
        <w:jc w:val="center"/>
        <w:rPr>
          <w:rFonts w:ascii="Arial" w:hAnsi="Arial" w:cs="Arial"/>
          <w:b/>
          <w:bCs/>
          <w:color w:val="000000"/>
          <w:sz w:val="20"/>
          <w:szCs w:val="20"/>
        </w:rPr>
      </w:pPr>
    </w:p>
    <w:p w14:paraId="0776F281">
      <w:pPr>
        <w:pStyle w:val="220"/>
        <w:numPr>
          <w:ilvl w:val="0"/>
          <w:numId w:val="18"/>
        </w:numPr>
        <w:ind w:left="426" w:hanging="426"/>
        <w:rPr>
          <w:rFonts w:ascii="Arial" w:hAnsi="Arial" w:cs="Arial"/>
          <w:b/>
          <w:bCs/>
          <w:color w:val="000000"/>
        </w:rPr>
      </w:pPr>
      <w:r>
        <w:rPr>
          <w:rFonts w:ascii="Arial" w:hAnsi="Arial" w:cs="Arial"/>
          <w:b/>
          <w:bCs/>
          <w:color w:val="000000"/>
        </w:rPr>
        <w:t>ELABORADO PEL</w:t>
      </w:r>
      <w:r>
        <w:rPr>
          <w:rFonts w:hint="default" w:ascii="Arial" w:hAnsi="Arial" w:cs="Arial"/>
          <w:b/>
          <w:bCs/>
          <w:color w:val="000000"/>
          <w:lang w:val="pt-BR"/>
        </w:rPr>
        <w:t>A SECRETARIA DE SAÚDE DA PMC</w:t>
      </w:r>
    </w:p>
    <w:p w14:paraId="5F9DD400">
      <w:pPr>
        <w:rPr>
          <w:rFonts w:hint="default" w:ascii="Arial" w:hAnsi="Arial" w:cs="Arial"/>
          <w:sz w:val="18"/>
          <w:szCs w:val="18"/>
        </w:rPr>
      </w:pPr>
    </w:p>
    <w:p w14:paraId="15947F0D">
      <w:pPr>
        <w:rPr>
          <w:rFonts w:hint="default" w:ascii="Arial" w:hAnsi="Arial" w:cs="Arial"/>
          <w:sz w:val="18"/>
          <w:szCs w:val="18"/>
        </w:rPr>
      </w:pPr>
    </w:p>
    <w:p w14:paraId="452612F0">
      <w:pPr>
        <w:pageBreakBefore w:val="0"/>
        <w:widowControl/>
        <w:kinsoku/>
        <w:wordWrap/>
        <w:overflowPunct/>
        <w:topLinePunct w:val="0"/>
        <w:autoSpaceDE w:val="0"/>
        <w:autoSpaceDN w:val="0"/>
        <w:bidi w:val="0"/>
        <w:adjustRightInd w:val="0"/>
        <w:snapToGrid/>
        <w:spacing w:line="240" w:lineRule="auto"/>
        <w:ind w:left="0" w:right="0"/>
        <w:jc w:val="center"/>
        <w:rPr>
          <w:rFonts w:hint="default" w:ascii="Arial" w:hAnsi="Arial" w:cs="Arial"/>
          <w:b/>
          <w:sz w:val="17"/>
          <w:szCs w:val="17"/>
        </w:rPr>
      </w:pPr>
      <w:r>
        <w:rPr>
          <w:rFonts w:hint="default" w:ascii="Arial" w:hAnsi="Arial" w:cs="Arial"/>
          <w:b/>
          <w:sz w:val="17"/>
          <w:szCs w:val="17"/>
        </w:rPr>
        <w:t xml:space="preserve">TERMO DE REFERÊNCIA </w:t>
      </w:r>
    </w:p>
    <w:p w14:paraId="4E17576A">
      <w:pPr>
        <w:pageBreakBefore w:val="0"/>
        <w:widowControl/>
        <w:kinsoku/>
        <w:wordWrap/>
        <w:overflowPunct/>
        <w:topLinePunct w:val="0"/>
        <w:autoSpaceDE w:val="0"/>
        <w:autoSpaceDN w:val="0"/>
        <w:bidi w:val="0"/>
        <w:adjustRightInd w:val="0"/>
        <w:snapToGrid/>
        <w:spacing w:line="240" w:lineRule="auto"/>
        <w:ind w:left="0" w:right="0"/>
        <w:jc w:val="center"/>
        <w:rPr>
          <w:rFonts w:hint="default" w:ascii="Arial" w:hAnsi="Arial" w:cs="Arial"/>
          <w:b/>
          <w:sz w:val="17"/>
          <w:szCs w:val="17"/>
        </w:rPr>
      </w:pPr>
    </w:p>
    <w:p w14:paraId="76EB741C">
      <w:pPr>
        <w:pageBreakBefore w:val="0"/>
        <w:widowControl/>
        <w:kinsoku/>
        <w:wordWrap/>
        <w:overflowPunct/>
        <w:topLinePunct w:val="0"/>
        <w:autoSpaceDE w:val="0"/>
        <w:autoSpaceDN w:val="0"/>
        <w:bidi w:val="0"/>
        <w:adjustRightInd w:val="0"/>
        <w:snapToGrid/>
        <w:spacing w:line="240" w:lineRule="auto"/>
        <w:ind w:left="0" w:leftChars="0" w:right="0"/>
        <w:jc w:val="center"/>
        <w:rPr>
          <w:rFonts w:hint="default" w:ascii="Arial" w:hAnsi="Arial" w:cs="Arial"/>
          <w:b/>
          <w:sz w:val="17"/>
          <w:szCs w:val="17"/>
        </w:rPr>
      </w:pPr>
    </w:p>
    <w:p w14:paraId="413ED080">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cs="Arial"/>
          <w:b/>
          <w:sz w:val="17"/>
          <w:szCs w:val="17"/>
        </w:rPr>
      </w:pPr>
      <w:r>
        <w:rPr>
          <w:rFonts w:ascii="Arial" w:hAnsi="Arial" w:cs="Arial"/>
          <w:b/>
          <w:sz w:val="17"/>
          <w:szCs w:val="17"/>
        </w:rPr>
        <w:t>1. CONDIÇÕES GERAIS DA CONTRATAÇÃO</w:t>
      </w:r>
    </w:p>
    <w:p w14:paraId="56686462">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cs="Arial"/>
          <w:b/>
          <w:sz w:val="17"/>
          <w:szCs w:val="17"/>
        </w:rPr>
      </w:pPr>
      <w:r>
        <w:rPr>
          <w:rFonts w:ascii="Arial" w:hAnsi="Arial" w:cs="Arial"/>
          <w:b/>
          <w:sz w:val="17"/>
          <w:szCs w:val="17"/>
        </w:rPr>
        <w:t xml:space="preserve">1.1. </w:t>
      </w:r>
      <w:r>
        <w:rPr>
          <w:rFonts w:ascii="Arial" w:hAnsi="Arial" w:cs="Arial"/>
          <w:sz w:val="17"/>
          <w:szCs w:val="17"/>
        </w:rPr>
        <w:t>O presente documento tem por objetivo estabelecer as condições gerais que orientarão o processo licitatório, na modalidade Pregão Eletrônico, pelo sistema de Registro de Preços, do tipo menor preço por item, para aquisição de materiais destinados a procedimentos médicos e hospitalares, a fim de atender às necessidades dos diversos setores da Secretaria Municipal de Saúde de Cataguases/MG, conforme condições e exigências estabelecidas neste instrumento e em consonância com os parâmetros da Lei nº 14.133/2021.</w:t>
      </w:r>
    </w:p>
    <w:p w14:paraId="7719FCCC">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cs="Arial"/>
          <w:sz w:val="17"/>
          <w:szCs w:val="17"/>
        </w:rPr>
      </w:pPr>
      <w:r>
        <w:rPr>
          <w:rFonts w:ascii="Arial" w:hAnsi="Arial" w:cs="Arial"/>
          <w:b/>
          <w:sz w:val="17"/>
          <w:szCs w:val="17"/>
        </w:rPr>
        <w:t xml:space="preserve">1.2. </w:t>
      </w:r>
      <w:r>
        <w:rPr>
          <w:rFonts w:ascii="Arial" w:hAnsi="Arial" w:cs="Arial"/>
          <w:sz w:val="17"/>
          <w:szCs w:val="17"/>
        </w:rPr>
        <w:t>Os itens objeto da presente contratação enquadram-se na classificação de bens comuns, nos termos do art. 6º, inciso XIII, da Lei Federal nº 14.133/2021, conforme justificativa constante no Estudo Técnico Preliminar.</w:t>
      </w:r>
    </w:p>
    <w:p w14:paraId="6D50120D">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cs="Arial"/>
          <w:b/>
          <w:sz w:val="17"/>
          <w:szCs w:val="17"/>
        </w:rPr>
      </w:pPr>
      <w:r>
        <w:rPr>
          <w:rFonts w:ascii="Arial" w:hAnsi="Arial" w:cs="Arial"/>
          <w:b/>
          <w:sz w:val="17"/>
          <w:szCs w:val="17"/>
        </w:rPr>
        <w:t xml:space="preserve">1.3. </w:t>
      </w:r>
      <w:r>
        <w:rPr>
          <w:rFonts w:ascii="Arial" w:hAnsi="Arial" w:cs="Arial"/>
          <w:sz w:val="17"/>
          <w:szCs w:val="17"/>
        </w:rPr>
        <w:t>Ressalta-se que o presente processo não está vinculado ao Programa de Aceleração do Crescimento (PAC) do Governo Federal, uma vez que se refere a demanda administrativa destinada ao registro de preços para futura e eventual contratação de empresa especializada no fornecimento de materiais para procedimentos médicos e hospitalares, com a finalidade de atender às necessidades contínuas e rotineiras dos diversos setores da Secretaria Municipal de Saúde de Cataguases/MG.</w:t>
      </w:r>
    </w:p>
    <w:p w14:paraId="29D5AE4B">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cs="Arial"/>
          <w:b/>
          <w:sz w:val="17"/>
          <w:szCs w:val="17"/>
        </w:rPr>
      </w:pPr>
      <w:r>
        <w:rPr>
          <w:rFonts w:ascii="Arial" w:hAnsi="Arial" w:cs="Arial"/>
          <w:b/>
          <w:sz w:val="17"/>
          <w:szCs w:val="17"/>
        </w:rPr>
        <w:t xml:space="preserve">1.4. </w:t>
      </w:r>
      <w:r>
        <w:rPr>
          <w:rFonts w:ascii="Arial" w:hAnsi="Arial" w:cs="Arial"/>
          <w:sz w:val="17"/>
          <w:szCs w:val="17"/>
        </w:rPr>
        <w:t>O objeto desta contratação não se enquadra como bem de luxo, nos termos do Decreto nº 10.818, de 27 de setembro de 2021.</w:t>
      </w:r>
    </w:p>
    <w:p w14:paraId="1CB2767F">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cs="Arial"/>
          <w:b/>
          <w:sz w:val="17"/>
          <w:szCs w:val="17"/>
        </w:rPr>
      </w:pPr>
      <w:r>
        <w:rPr>
          <w:rFonts w:ascii="Arial" w:hAnsi="Arial" w:cs="Arial"/>
          <w:b/>
          <w:sz w:val="17"/>
          <w:szCs w:val="17"/>
        </w:rPr>
        <w:t xml:space="preserve">1.5. </w:t>
      </w:r>
      <w:r>
        <w:rPr>
          <w:rFonts w:ascii="Arial" w:hAnsi="Arial" w:cs="Arial"/>
          <w:sz w:val="17"/>
          <w:szCs w:val="17"/>
        </w:rPr>
        <w:t>O prazo de vigência da contratação será de 12 (doze) meses, contados a partir da data de homologação da Ata de Registro de Preços, podendo ser prorrogado na forma da legislação vigente.</w:t>
      </w:r>
    </w:p>
    <w:p w14:paraId="4B48A994">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cs="Arial"/>
          <w:sz w:val="17"/>
          <w:szCs w:val="17"/>
        </w:rPr>
      </w:pPr>
      <w:r>
        <w:rPr>
          <w:rFonts w:ascii="Arial" w:hAnsi="Arial" w:cs="Arial"/>
          <w:b/>
          <w:sz w:val="17"/>
          <w:szCs w:val="17"/>
        </w:rPr>
        <w:t xml:space="preserve">1.6. </w:t>
      </w:r>
      <w:r>
        <w:rPr>
          <w:rFonts w:ascii="Arial" w:hAnsi="Arial" w:cs="Arial"/>
          <w:sz w:val="17"/>
          <w:szCs w:val="17"/>
        </w:rPr>
        <w:t>O contrato decorrente deste procedimento conterá o detalhamento das regras aplicáveis à vigência da contratação.</w:t>
      </w:r>
    </w:p>
    <w:p w14:paraId="3E267D11">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cs="Arial"/>
          <w:sz w:val="17"/>
          <w:szCs w:val="17"/>
        </w:rPr>
      </w:pPr>
    </w:p>
    <w:p w14:paraId="24AFF53A">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cs="Arial"/>
          <w:b/>
          <w:sz w:val="17"/>
          <w:szCs w:val="17"/>
        </w:rPr>
      </w:pPr>
      <w:r>
        <w:rPr>
          <w:rFonts w:ascii="Arial" w:hAnsi="Arial" w:cs="Arial"/>
          <w:b/>
          <w:sz w:val="17"/>
          <w:szCs w:val="17"/>
        </w:rPr>
        <w:t>2. ESTIMATIVA DAS QUANTIDADES A SEREM CONTRATADAS</w:t>
      </w:r>
    </w:p>
    <w:p w14:paraId="01AE4AEB">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LiberationSerif-Bold" w:cs="Arial"/>
          <w:sz w:val="17"/>
          <w:szCs w:val="17"/>
          <w:lang w:eastAsia="zh-CN"/>
        </w:rPr>
      </w:pPr>
      <w:r>
        <w:rPr>
          <w:rFonts w:ascii="Arial" w:hAnsi="Arial" w:cs="Arial"/>
          <w:b/>
          <w:sz w:val="17"/>
          <w:szCs w:val="17"/>
        </w:rPr>
        <w:t xml:space="preserve">2.1 </w:t>
      </w:r>
      <w:r>
        <w:rPr>
          <w:rFonts w:ascii="Arial" w:hAnsi="Arial" w:cs="Arial"/>
          <w:sz w:val="17"/>
          <w:szCs w:val="17"/>
        </w:rPr>
        <w:t>A estimativa das quantidades a serem contratadas é detalhada conforme tabela abaixo:</w:t>
      </w:r>
    </w:p>
    <w:p w14:paraId="7D5F281E">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eastAsia="Arial-BoldMT" w:cs="Arial"/>
          <w:b/>
          <w:bCs/>
          <w:color w:val="000000"/>
          <w:sz w:val="17"/>
          <w:szCs w:val="17"/>
          <w:lang w:val="en-US" w:eastAsia="pt-BR"/>
        </w:rPr>
      </w:pPr>
      <w:r>
        <w:rPr>
          <w:sz w:val="17"/>
          <w:szCs w:val="17"/>
          <w:lang w:eastAsia="pt-BR"/>
        </w:rPr>
        <w:drawing>
          <wp:inline distT="0" distB="0" distL="114300" distR="114300">
            <wp:extent cx="6209665" cy="2731135"/>
            <wp:effectExtent l="0" t="0" r="635" b="1206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209665" cy="2731135"/>
                    </a:xfrm>
                    <a:prstGeom prst="rect">
                      <a:avLst/>
                    </a:prstGeom>
                    <a:noFill/>
                    <a:ln>
                      <a:noFill/>
                    </a:ln>
                  </pic:spPr>
                </pic:pic>
              </a:graphicData>
            </a:graphic>
          </wp:inline>
        </w:drawing>
      </w:r>
    </w:p>
    <w:p w14:paraId="6300B7C7">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val="en-US" w:eastAsia="pt-BR"/>
        </w:rPr>
        <w:t>OBS:</w:t>
      </w:r>
      <w:r>
        <w:rPr>
          <w:rFonts w:ascii="Arial" w:hAnsi="Arial" w:eastAsia="Arial-BoldMT" w:cs="Arial"/>
          <w:bCs/>
          <w:color w:val="000000"/>
          <w:sz w:val="17"/>
          <w:szCs w:val="17"/>
          <w:lang w:val="en-US" w:eastAsia="pt-BR"/>
        </w:rPr>
        <w:t xml:space="preserve"> </w:t>
      </w:r>
      <w:r>
        <w:rPr>
          <w:rFonts w:ascii="Arial" w:hAnsi="Arial" w:eastAsia="Arial-BoldMT" w:cs="Arial"/>
          <w:bCs/>
          <w:color w:val="000000"/>
          <w:sz w:val="17"/>
          <w:szCs w:val="17"/>
          <w:lang w:eastAsia="pt-BR"/>
        </w:rPr>
        <w:t>Quando não encontrado o código com a descrição exata do item em pesquisa no “ComprasNet”, o código descrito será que mais se aproxima do produto, prevalecendo às</w:t>
      </w:r>
      <w:r>
        <w:rPr>
          <w:rFonts w:ascii="Arial" w:hAnsi="Arial" w:eastAsia="Arial-BoldMT" w:cs="Arial"/>
          <w:b/>
          <w:bCs/>
          <w:color w:val="000000"/>
          <w:sz w:val="17"/>
          <w:szCs w:val="17"/>
          <w:lang w:eastAsia="pt-BR"/>
        </w:rPr>
        <w:t xml:space="preserve"> descrições deste Termo de Referência</w:t>
      </w:r>
      <w:r>
        <w:rPr>
          <w:rFonts w:ascii="Arial" w:hAnsi="Arial" w:eastAsia="Arial-BoldMT" w:cs="Arial"/>
          <w:bCs/>
          <w:color w:val="000000"/>
          <w:sz w:val="17"/>
          <w:szCs w:val="17"/>
          <w:lang w:eastAsia="pt-BR"/>
        </w:rPr>
        <w:t>.</w:t>
      </w:r>
    </w:p>
    <w:p w14:paraId="52C1DAE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p>
    <w:p w14:paraId="07952D5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3. FUNDAMENTAÇÃO E DESCRIÇÃO DA NECESSIDADE DA CONTRATAÇÃO</w:t>
      </w:r>
    </w:p>
    <w:p w14:paraId="49E9741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3.1. </w:t>
      </w:r>
      <w:r>
        <w:rPr>
          <w:rFonts w:ascii="Arial" w:hAnsi="Arial" w:eastAsia="Arial-BoldMT" w:cs="Arial"/>
          <w:bCs/>
          <w:color w:val="000000"/>
          <w:sz w:val="17"/>
          <w:szCs w:val="17"/>
          <w:lang w:eastAsia="pt-BR"/>
        </w:rPr>
        <w:t>A Secretaria Municipal de Saúde de Cataguases/MG tem a responsabilidade de garantir o atendimento integral à saúde da população, o que exige o fornecimento contínuo de materiais médicos e hospitalares de qualidade. Esses insumos são essenciais para a realização de procedimentos clínicos, cirúrgicos e assistenciais nas unidades de saúde e demais serviços vinculados à Secretaria.</w:t>
      </w:r>
    </w:p>
    <w:p w14:paraId="43ECCF0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3.2. </w:t>
      </w:r>
      <w:r>
        <w:rPr>
          <w:rFonts w:ascii="Arial" w:hAnsi="Arial" w:eastAsia="Arial-BoldMT" w:cs="Arial"/>
          <w:bCs/>
          <w:color w:val="000000"/>
          <w:sz w:val="17"/>
          <w:szCs w:val="17"/>
          <w:lang w:eastAsia="pt-BR"/>
        </w:rPr>
        <w:t>No processo licitatório nº 94/2025, realizado recentemente, verificou-se a ocorrência de itens desertos ou fracassados, conforme listado a seguir, tendo em vista a ausência de apresentação de propostas válidas pelas empresas participantes:</w:t>
      </w:r>
    </w:p>
    <w:p w14:paraId="287342C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Bota de Unna 100% algodão – 10,2 cm x 6 m</w:t>
      </w:r>
    </w:p>
    <w:p w14:paraId="372B51E4">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Bota de Unna 100% algodão – 7,5 cm x 6 m</w:t>
      </w:r>
    </w:p>
    <w:p w14:paraId="3C1461A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Campo fenestrado descartável de 10 cm – 30 x 30 cm, em TNT esterilizável</w:t>
      </w:r>
    </w:p>
    <w:p w14:paraId="0DAE436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Gaze rayon – 7,5 cm x 7,5 cm</w:t>
      </w:r>
    </w:p>
    <w:p w14:paraId="6470767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Macacão de proteção descartável TNT 40, com elástico na cintura</w:t>
      </w:r>
    </w:p>
    <w:p w14:paraId="75BA6517">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Malha tubular de algodão – 12 cm x 15 m</w:t>
      </w:r>
    </w:p>
    <w:p w14:paraId="21F7D242">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Oxímetro de dedo</w:t>
      </w:r>
    </w:p>
    <w:p w14:paraId="4D794DD3">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PHMD sabonete antisséptico – 500 ml</w:t>
      </w:r>
    </w:p>
    <w:p w14:paraId="323E333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Seringa descartável sem agulha – 20 ml (luer slip, sem rosca), com 100 unidades</w:t>
      </w:r>
    </w:p>
    <w:p w14:paraId="35073407">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Sonda Foley 3 vias nº 14</w:t>
      </w:r>
    </w:p>
    <w:p w14:paraId="31DEB8A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Sulfadiazina de prata 1% – pote de 400 gramas</w:t>
      </w:r>
    </w:p>
    <w:p w14:paraId="6C8BF3F4">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Tala metálica para imobilização – 16 mm x 250 mm</w:t>
      </w:r>
    </w:p>
    <w:p w14:paraId="53CB6E4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Tala aramada de espuma para imobilização de membros superiores e inferiores – tamanho G</w:t>
      </w:r>
    </w:p>
    <w:p w14:paraId="4F1DAC5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 Vaselina em pasta – pote de 500 gramas</w:t>
      </w:r>
    </w:p>
    <w:p w14:paraId="5C0E6361">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3.3. </w:t>
      </w:r>
      <w:r>
        <w:rPr>
          <w:rFonts w:ascii="Arial" w:hAnsi="Arial" w:eastAsia="Arial-BoldMT" w:cs="Arial"/>
          <w:bCs/>
          <w:color w:val="000000"/>
          <w:sz w:val="17"/>
          <w:szCs w:val="17"/>
          <w:lang w:eastAsia="pt-BR"/>
        </w:rPr>
        <w:t>Considerando a necessidade de assegurar o abastecimento regular desses materiais, o presente estudo visa estabelecer a solução mais viável, técnica e economicamente adequada para sua aquisição, garantindo eficiência na prestação dos serviços de saúde e atendimento apropriado à população.</w:t>
      </w:r>
    </w:p>
    <w:p w14:paraId="57DBD93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p>
    <w:p w14:paraId="6614EDF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4. DESCRIÇÃO DA SOLUÇÃO COMO UM TODO CONSIDERADO O CICLO DE VIDA DO OBJETO E ESPECIFICAÇÃO DO PRODUTO</w:t>
      </w:r>
    </w:p>
    <w:p w14:paraId="14F15371">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4.1. </w:t>
      </w:r>
      <w:r>
        <w:rPr>
          <w:rFonts w:ascii="Arial" w:hAnsi="Arial" w:eastAsia="Arial-BoldMT" w:cs="Arial"/>
          <w:bCs/>
          <w:color w:val="000000"/>
          <w:sz w:val="17"/>
          <w:szCs w:val="17"/>
          <w:lang w:eastAsia="pt-BR"/>
        </w:rPr>
        <w:t>A presente solução tem como objetivo garantir a aquisição contínua e eficiente de materiais médicos e hospitalares, visando atender às demandas da Secretaria Municipal de Saúde de Cataguases/MG e assegurar a continuidade dos serviços de saúde prestados à população.</w:t>
      </w:r>
    </w:p>
    <w:p w14:paraId="3AAB64D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4.2</w:t>
      </w:r>
      <w:r>
        <w:rPr>
          <w:rFonts w:ascii="Arial" w:hAnsi="Arial" w:eastAsia="Arial-BoldMT" w:cs="Arial"/>
          <w:bCs/>
          <w:color w:val="000000"/>
          <w:sz w:val="17"/>
          <w:szCs w:val="17"/>
          <w:lang w:eastAsia="pt-BR"/>
        </w:rPr>
        <w:t>. A contratação será realizada por meio de processo licitatório na modalidade Pregão Eletrônico, sob o sistema de Registro de Preços, com julgamento pelo menor preço por item, permitindo maior flexibilidade, economicidade e eficiência na gestão dos insumos ao longo da vigência da ata.</w:t>
      </w:r>
    </w:p>
    <w:p w14:paraId="7648FFF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4.3. </w:t>
      </w:r>
      <w:r>
        <w:rPr>
          <w:rFonts w:ascii="Arial" w:hAnsi="Arial" w:eastAsia="Arial-BoldMT" w:cs="Arial"/>
          <w:bCs/>
          <w:color w:val="000000"/>
          <w:sz w:val="17"/>
          <w:szCs w:val="17"/>
          <w:lang w:eastAsia="pt-BR"/>
        </w:rPr>
        <w:t>Os materiais a serem registrados atenderão às especificações técnicas e normas sanitárias vigentes, sendo utilizados conforme a necessidade dos setores demandantes, ao longo do ciclo de vida do objeto, desde o fornecimento e utilização até o consumo final, assegurando a adequada prestação dos serviços de saúde.</w:t>
      </w:r>
    </w:p>
    <w:p w14:paraId="1DB49AF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4.4. </w:t>
      </w:r>
      <w:r>
        <w:rPr>
          <w:rFonts w:ascii="Arial" w:hAnsi="Arial" w:eastAsia="Arial-BoldMT" w:cs="Arial"/>
          <w:bCs/>
          <w:color w:val="000000"/>
          <w:sz w:val="17"/>
          <w:szCs w:val="17"/>
          <w:lang w:eastAsia="pt-BR"/>
        </w:rPr>
        <w:t>A solução proposta observa os princípios da economicidade, eficiência, transparência e ampla competitividade, em conformidade com a Lei nº 14.133/2021 e demais normas aplicáveis.</w:t>
      </w:r>
    </w:p>
    <w:p w14:paraId="1B3C25CA">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p>
    <w:p w14:paraId="7508DDE3">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5. REQUISITOS DA CONTRATAÇÃO</w:t>
      </w:r>
    </w:p>
    <w:p w14:paraId="4DE8A8E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5.1. </w:t>
      </w:r>
      <w:r>
        <w:rPr>
          <w:rFonts w:ascii="Arial" w:hAnsi="Arial" w:eastAsia="Arial-BoldMT" w:cs="Arial"/>
          <w:bCs/>
          <w:color w:val="000000"/>
          <w:sz w:val="17"/>
          <w:szCs w:val="17"/>
          <w:lang w:eastAsia="pt-BR"/>
        </w:rPr>
        <w:t>A aquisição de materiais médicos e hospitalares deverá atender aos seguintes requisitos:</w:t>
      </w:r>
    </w:p>
    <w:p w14:paraId="4E9BA132">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a) </w:t>
      </w:r>
      <w:r>
        <w:rPr>
          <w:rFonts w:ascii="Arial" w:hAnsi="Arial" w:eastAsia="Arial-BoldMT" w:cs="Arial"/>
          <w:bCs/>
          <w:color w:val="000000"/>
          <w:sz w:val="17"/>
          <w:szCs w:val="17"/>
          <w:lang w:eastAsia="pt-BR"/>
        </w:rPr>
        <w:t>Qualidade e segurança: Os produtos deverão ser provenientes de fabricantes idôneos, com comprovação de qualidade, segurança e eficácia.</w:t>
      </w:r>
    </w:p>
    <w:p w14:paraId="41AB6C22">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b) </w:t>
      </w:r>
      <w:r>
        <w:rPr>
          <w:rFonts w:ascii="Arial" w:hAnsi="Arial" w:eastAsia="Arial-BoldMT" w:cs="Arial"/>
          <w:bCs/>
          <w:color w:val="000000"/>
          <w:sz w:val="17"/>
          <w:szCs w:val="17"/>
          <w:lang w:eastAsia="pt-BR"/>
        </w:rPr>
        <w:t>Diversidade de itens: A contratação deverá abranger uma variedade de materiais, conforme as necessidades dos diferentes setores da saúde.</w:t>
      </w:r>
    </w:p>
    <w:p w14:paraId="24B47E87">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c) </w:t>
      </w:r>
      <w:r>
        <w:rPr>
          <w:rFonts w:ascii="Arial" w:hAnsi="Arial" w:eastAsia="Arial-BoldMT" w:cs="Arial"/>
          <w:bCs/>
          <w:color w:val="000000"/>
          <w:sz w:val="17"/>
          <w:szCs w:val="17"/>
          <w:lang w:eastAsia="pt-BR"/>
        </w:rPr>
        <w:t>Prazo de entrega: Os materiais deverão ser entregues no prazo de até 15 (quinze) dias corridos, contados a partir da data de recebimento da Solicitação de Fornecimento, evitando o desabastecimento que possa comprometer o atendimento à população.</w:t>
      </w:r>
    </w:p>
    <w:p w14:paraId="57C4841A">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d) </w:t>
      </w:r>
      <w:r>
        <w:rPr>
          <w:rFonts w:ascii="Arial" w:hAnsi="Arial" w:eastAsia="Arial-BoldMT" w:cs="Arial"/>
          <w:bCs/>
          <w:color w:val="000000"/>
          <w:sz w:val="17"/>
          <w:szCs w:val="17"/>
          <w:lang w:eastAsia="pt-BR"/>
        </w:rPr>
        <w:t>Armazenamento e distribuição: Os produtos deverão ser entregues em condições adequadas de conservação, de acordo com as especificações técnicas dos fabricantes e normas vigentes.</w:t>
      </w:r>
    </w:p>
    <w:p w14:paraId="19DCEF2E">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e) </w:t>
      </w:r>
      <w:r>
        <w:rPr>
          <w:rFonts w:ascii="Arial" w:hAnsi="Arial" w:eastAsia="Arial-BoldMT" w:cs="Arial"/>
          <w:bCs/>
          <w:color w:val="000000"/>
          <w:sz w:val="17"/>
          <w:szCs w:val="17"/>
          <w:lang w:eastAsia="pt-BR"/>
        </w:rPr>
        <w:t>Preço e economicidade: A contratação será realizada com base no menor preço por item, garantindo a economicidade e a vantajosidade para a Administração Pública.</w:t>
      </w:r>
    </w:p>
    <w:p w14:paraId="2BE88C93">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val="en-US" w:eastAsia="pt-BR"/>
        </w:rPr>
      </w:pPr>
      <w:r>
        <w:rPr>
          <w:rFonts w:ascii="Arial" w:hAnsi="Arial" w:eastAsia="Arial-BoldMT" w:cs="Arial"/>
          <w:b/>
          <w:bCs/>
          <w:color w:val="000000"/>
          <w:sz w:val="17"/>
          <w:szCs w:val="17"/>
          <w:lang w:eastAsia="pt-BR"/>
        </w:rPr>
        <w:t xml:space="preserve">5.2 </w:t>
      </w:r>
      <w:r>
        <w:rPr>
          <w:rFonts w:ascii="Arial" w:hAnsi="Arial" w:eastAsia="Arial-BoldMT" w:cs="Arial"/>
          <w:bCs/>
          <w:color w:val="000000"/>
          <w:sz w:val="17"/>
          <w:szCs w:val="17"/>
          <w:lang w:eastAsia="pt-BR"/>
        </w:rPr>
        <w:t>Sustentabilidade</w:t>
      </w:r>
      <w:r>
        <w:rPr>
          <w:rFonts w:ascii="Arial" w:hAnsi="Arial" w:eastAsia="Arial-BoldMT" w:cs="Arial"/>
          <w:bCs/>
          <w:color w:val="000000"/>
          <w:sz w:val="17"/>
          <w:szCs w:val="17"/>
          <w:lang w:val="en-US" w:eastAsia="pt-BR"/>
        </w:rPr>
        <w:t>:</w:t>
      </w:r>
    </w:p>
    <w:p w14:paraId="40C72AA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5.2.1</w:t>
      </w:r>
      <w:r>
        <w:rPr>
          <w:rFonts w:ascii="Arial" w:hAnsi="Arial" w:eastAsia="Arial-BoldMT" w:cs="Arial"/>
          <w:bCs/>
          <w:color w:val="000000"/>
          <w:sz w:val="17"/>
          <w:szCs w:val="17"/>
          <w:lang w:eastAsia="pt-BR"/>
        </w:rPr>
        <w:t xml:space="preserve"> Além dos critérios de sustentabilidade eventualmente inseridos na descrição do objeto, devem ser atendidos os seguintes requisitos, que se baseiam no Guia Nacional de Contratações Sustentáveis.</w:t>
      </w:r>
    </w:p>
    <w:p w14:paraId="72C4F07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val="en-US" w:eastAsia="pt-BR"/>
        </w:rPr>
      </w:pPr>
      <w:r>
        <w:rPr>
          <w:rFonts w:ascii="Arial" w:hAnsi="Arial" w:eastAsia="Arial-BoldMT" w:cs="Arial"/>
          <w:b/>
          <w:bCs/>
          <w:color w:val="000000"/>
          <w:sz w:val="17"/>
          <w:szCs w:val="17"/>
          <w:lang w:eastAsia="pt-BR"/>
        </w:rPr>
        <w:t>5.3 Subcontratação</w:t>
      </w:r>
      <w:r>
        <w:rPr>
          <w:rFonts w:ascii="Arial" w:hAnsi="Arial" w:eastAsia="Arial-BoldMT" w:cs="Arial"/>
          <w:b/>
          <w:bCs/>
          <w:color w:val="000000"/>
          <w:sz w:val="17"/>
          <w:szCs w:val="17"/>
          <w:lang w:val="en-US" w:eastAsia="pt-BR"/>
        </w:rPr>
        <w:t>:</w:t>
      </w:r>
    </w:p>
    <w:p w14:paraId="3ABFCDE4">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val="en-US" w:eastAsia="pt-BR"/>
        </w:rPr>
      </w:pPr>
      <w:r>
        <w:rPr>
          <w:rFonts w:ascii="Arial" w:hAnsi="Arial" w:eastAsia="Arial-BoldMT" w:cs="Arial"/>
          <w:b/>
          <w:bCs/>
          <w:color w:val="000000"/>
          <w:sz w:val="17"/>
          <w:szCs w:val="17"/>
          <w:lang w:eastAsia="pt-BR"/>
        </w:rPr>
        <w:t>5.3.1</w:t>
      </w:r>
      <w:r>
        <w:rPr>
          <w:rFonts w:ascii="Arial" w:hAnsi="Arial" w:eastAsia="Arial-BoldMT" w:cs="Arial"/>
          <w:bCs/>
          <w:color w:val="000000"/>
          <w:sz w:val="17"/>
          <w:szCs w:val="17"/>
          <w:lang w:eastAsia="pt-BR"/>
        </w:rPr>
        <w:t xml:space="preserve"> É vedada a subcontratação</w:t>
      </w:r>
      <w:r>
        <w:rPr>
          <w:rFonts w:ascii="Arial" w:hAnsi="Arial" w:eastAsia="Arial-BoldMT" w:cs="Arial"/>
          <w:bCs/>
          <w:color w:val="000000"/>
          <w:sz w:val="17"/>
          <w:szCs w:val="17"/>
          <w:lang w:val="en-US" w:eastAsia="pt-BR"/>
        </w:rPr>
        <w:t>.</w:t>
      </w:r>
    </w:p>
    <w:p w14:paraId="67D2EFD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val="en-US" w:eastAsia="pt-BR"/>
        </w:rPr>
      </w:pPr>
      <w:r>
        <w:rPr>
          <w:rFonts w:ascii="Arial" w:hAnsi="Arial" w:eastAsia="Arial-BoldMT" w:cs="Arial"/>
          <w:b/>
          <w:bCs/>
          <w:color w:val="000000"/>
          <w:sz w:val="17"/>
          <w:szCs w:val="17"/>
          <w:lang w:eastAsia="pt-BR"/>
        </w:rPr>
        <w:t>5.4. Garantia da Contratação</w:t>
      </w:r>
      <w:r>
        <w:rPr>
          <w:rFonts w:ascii="Arial" w:hAnsi="Arial" w:eastAsia="Arial-BoldMT" w:cs="Arial"/>
          <w:b/>
          <w:bCs/>
          <w:color w:val="000000"/>
          <w:sz w:val="17"/>
          <w:szCs w:val="17"/>
          <w:lang w:val="en-US" w:eastAsia="pt-BR"/>
        </w:rPr>
        <w:t>:</w:t>
      </w:r>
    </w:p>
    <w:p w14:paraId="02E0797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5.4.1</w:t>
      </w:r>
      <w:r>
        <w:rPr>
          <w:rFonts w:ascii="Arial" w:hAnsi="Arial" w:eastAsia="Arial-BoldMT" w:cs="Arial"/>
          <w:bCs/>
          <w:color w:val="000000"/>
          <w:sz w:val="17"/>
          <w:szCs w:val="17"/>
          <w:lang w:eastAsia="pt-BR"/>
        </w:rPr>
        <w:t xml:space="preserve"> Não será exigida garantia de execução da contratação para esse objeto.</w:t>
      </w:r>
    </w:p>
    <w:p w14:paraId="21A56CA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val="en-US" w:eastAsia="pt-BR"/>
        </w:rPr>
      </w:pPr>
      <w:r>
        <w:rPr>
          <w:rFonts w:ascii="Arial" w:hAnsi="Arial" w:eastAsia="Arial-BoldMT" w:cs="Arial"/>
          <w:b/>
          <w:bCs/>
          <w:color w:val="000000"/>
          <w:sz w:val="17"/>
          <w:szCs w:val="17"/>
          <w:lang w:eastAsia="pt-BR"/>
        </w:rPr>
        <w:t>5.5. Da Indicação de Marcas ou Modelos</w:t>
      </w:r>
      <w:r>
        <w:rPr>
          <w:rFonts w:ascii="Arial" w:hAnsi="Arial" w:eastAsia="Arial-BoldMT" w:cs="Arial"/>
          <w:b/>
          <w:bCs/>
          <w:color w:val="000000"/>
          <w:sz w:val="17"/>
          <w:szCs w:val="17"/>
          <w:lang w:val="en-US" w:eastAsia="pt-BR"/>
        </w:rPr>
        <w:t>:</w:t>
      </w:r>
    </w:p>
    <w:p w14:paraId="3798B52D">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val="en-US" w:eastAsia="pt-BR"/>
        </w:rPr>
      </w:pPr>
      <w:r>
        <w:rPr>
          <w:rFonts w:ascii="Arial" w:hAnsi="Arial" w:eastAsia="Arial-BoldMT" w:cs="Arial"/>
          <w:b/>
          <w:bCs/>
          <w:color w:val="000000"/>
          <w:sz w:val="17"/>
          <w:szCs w:val="17"/>
          <w:lang w:val="en-US" w:eastAsia="pt-BR"/>
        </w:rPr>
        <w:t xml:space="preserve">5.5.1. </w:t>
      </w:r>
      <w:r>
        <w:rPr>
          <w:rFonts w:ascii="Arial" w:hAnsi="Arial" w:eastAsia="Arial-BoldMT" w:cs="Arial"/>
          <w:b/>
          <w:bCs/>
          <w:color w:val="000000"/>
          <w:sz w:val="17"/>
          <w:szCs w:val="17"/>
          <w:lang w:eastAsia="pt-BR"/>
        </w:rPr>
        <w:t>Não</w:t>
      </w:r>
      <w:r>
        <w:rPr>
          <w:rFonts w:ascii="Arial" w:hAnsi="Arial" w:eastAsia="Arial-BoldMT" w:cs="Arial"/>
          <w:b/>
          <w:bCs/>
          <w:color w:val="000000"/>
          <w:sz w:val="17"/>
          <w:szCs w:val="17"/>
          <w:lang w:val="en-US" w:eastAsia="pt-BR"/>
        </w:rPr>
        <w:t xml:space="preserve"> se </w:t>
      </w:r>
      <w:r>
        <w:rPr>
          <w:rFonts w:ascii="Arial" w:hAnsi="Arial" w:eastAsia="Arial-BoldMT" w:cs="Arial"/>
          <w:b/>
          <w:bCs/>
          <w:color w:val="000000"/>
          <w:sz w:val="17"/>
          <w:szCs w:val="17"/>
          <w:lang w:eastAsia="pt-BR"/>
        </w:rPr>
        <w:t>aplica</w:t>
      </w:r>
      <w:r>
        <w:rPr>
          <w:rFonts w:ascii="Arial" w:hAnsi="Arial" w:eastAsia="Arial-BoldMT" w:cs="Arial"/>
          <w:b/>
          <w:bCs/>
          <w:color w:val="000000"/>
          <w:sz w:val="17"/>
          <w:szCs w:val="17"/>
          <w:lang w:val="en-US" w:eastAsia="pt-BR"/>
        </w:rPr>
        <w:t xml:space="preserve"> nesse caso.</w:t>
      </w:r>
    </w:p>
    <w:p w14:paraId="3C7E7EB8">
      <w:pPr>
        <w:pStyle w:val="304"/>
        <w:keepNext w:val="0"/>
        <w:keepLines w:val="0"/>
        <w:pageBreakBefore w:val="0"/>
        <w:widowControl/>
        <w:numPr>
          <w:ilvl w:val="0"/>
          <w:numId w:val="0"/>
        </w:numPr>
        <w:kinsoku/>
        <w:wordWrap/>
        <w:overflowPunct/>
        <w:topLinePunct w:val="0"/>
        <w:autoSpaceDE/>
        <w:autoSpaceDN/>
        <w:bidi w:val="0"/>
        <w:adjustRightInd/>
        <w:snapToGrid w:val="0"/>
        <w:spacing w:before="0" w:after="0" w:line="240" w:lineRule="auto"/>
        <w:ind w:left="0" w:leftChars="0" w:firstLine="0" w:firstLineChars="0"/>
        <w:textAlignment w:val="auto"/>
        <w:rPr>
          <w:b/>
          <w:sz w:val="17"/>
          <w:szCs w:val="17"/>
        </w:rPr>
      </w:pPr>
      <w:r>
        <w:rPr>
          <w:b/>
          <w:sz w:val="17"/>
          <w:szCs w:val="17"/>
        </w:rPr>
        <w:t>5.6. Da Amostra</w:t>
      </w:r>
    </w:p>
    <w:p w14:paraId="3F205EE0">
      <w:pPr>
        <w:pStyle w:val="304"/>
        <w:keepNext w:val="0"/>
        <w:keepLines w:val="0"/>
        <w:pageBreakBefore w:val="0"/>
        <w:widowControl/>
        <w:numPr>
          <w:ilvl w:val="0"/>
          <w:numId w:val="0"/>
        </w:numPr>
        <w:kinsoku/>
        <w:wordWrap/>
        <w:overflowPunct/>
        <w:topLinePunct w:val="0"/>
        <w:autoSpaceDE/>
        <w:autoSpaceDN/>
        <w:bidi w:val="0"/>
        <w:adjustRightInd/>
        <w:snapToGrid w:val="0"/>
        <w:spacing w:before="0" w:after="0" w:line="240" w:lineRule="auto"/>
        <w:ind w:left="0" w:leftChars="0" w:firstLine="0" w:firstLineChars="0"/>
        <w:textAlignment w:val="auto"/>
        <w:rPr>
          <w:sz w:val="17"/>
          <w:szCs w:val="17"/>
        </w:rPr>
      </w:pPr>
      <w:r>
        <w:rPr>
          <w:b/>
          <w:sz w:val="17"/>
          <w:szCs w:val="17"/>
        </w:rPr>
        <w:t xml:space="preserve">5.6.1. </w:t>
      </w:r>
      <w:r>
        <w:rPr>
          <w:sz w:val="17"/>
          <w:szCs w:val="17"/>
        </w:rPr>
        <w:t>Não se aplica neste caso.</w:t>
      </w:r>
    </w:p>
    <w:p w14:paraId="04E08355">
      <w:pPr>
        <w:pStyle w:val="304"/>
        <w:keepNext w:val="0"/>
        <w:keepLines w:val="0"/>
        <w:pageBreakBefore w:val="0"/>
        <w:widowControl/>
        <w:numPr>
          <w:ilvl w:val="0"/>
          <w:numId w:val="0"/>
        </w:numPr>
        <w:kinsoku/>
        <w:wordWrap/>
        <w:overflowPunct/>
        <w:topLinePunct w:val="0"/>
        <w:autoSpaceDE/>
        <w:autoSpaceDN/>
        <w:bidi w:val="0"/>
        <w:adjustRightInd/>
        <w:snapToGrid w:val="0"/>
        <w:spacing w:before="0" w:after="0" w:line="240" w:lineRule="auto"/>
        <w:ind w:left="0" w:leftChars="0" w:firstLine="0" w:firstLineChars="0"/>
        <w:textAlignment w:val="auto"/>
        <w:rPr>
          <w:sz w:val="17"/>
          <w:szCs w:val="17"/>
        </w:rPr>
      </w:pPr>
    </w:p>
    <w:p w14:paraId="376EF81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6. MODELO DE EXECUÇÃO DO OBJETO</w:t>
      </w:r>
    </w:p>
    <w:p w14:paraId="2197B721">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6.1. </w:t>
      </w:r>
      <w:r>
        <w:rPr>
          <w:rFonts w:ascii="Arial" w:hAnsi="Arial" w:eastAsia="Arial-BoldMT" w:cs="Arial"/>
          <w:bCs/>
          <w:color w:val="000000"/>
          <w:sz w:val="17"/>
          <w:szCs w:val="17"/>
          <w:lang w:eastAsia="pt-BR"/>
        </w:rPr>
        <w:t>O fornecimento de materiais de procedimentos médicos e hospitalares será executado sob demanda, durante a vigência da Ata de Registro de Preços, mediante envio de Autorização de Fornecimento pela Administração, a qual conterá a descrição dos materiais, os quantitativos, o local de entrega e demais informações necessárias.</w:t>
      </w:r>
    </w:p>
    <w:p w14:paraId="1C197687">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6.2. </w:t>
      </w:r>
      <w:r>
        <w:rPr>
          <w:rFonts w:ascii="Arial" w:hAnsi="Arial" w:eastAsia="Arial-BoldMT" w:cs="Arial"/>
          <w:bCs/>
          <w:color w:val="000000"/>
          <w:sz w:val="17"/>
          <w:szCs w:val="17"/>
          <w:lang w:eastAsia="pt-BR"/>
        </w:rPr>
        <w:t>A Contratada deverá atender integralmente à Autorização de Fornecimento emitida, respeitando os quantitativos, descrições e local indicados, não sendo admitido atendimento parcial do objeto solicitado.</w:t>
      </w:r>
    </w:p>
    <w:p w14:paraId="510B0C5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6.3. </w:t>
      </w:r>
      <w:r>
        <w:rPr>
          <w:rFonts w:ascii="Arial" w:hAnsi="Arial" w:eastAsia="Arial-BoldMT" w:cs="Arial"/>
          <w:bCs/>
          <w:color w:val="000000"/>
          <w:sz w:val="17"/>
          <w:szCs w:val="17"/>
          <w:lang w:eastAsia="pt-BR"/>
        </w:rPr>
        <w:t>O prazo máximo para a entrega dos materiais será de até 15 (quinze) dias corridos, contados a partir do envio da Autorização de Fornecimento.</w:t>
      </w:r>
    </w:p>
    <w:p w14:paraId="614BEB9B">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6.4. </w:t>
      </w:r>
      <w:r>
        <w:rPr>
          <w:rFonts w:ascii="Arial" w:hAnsi="Arial" w:eastAsia="Arial-BoldMT" w:cs="Arial"/>
          <w:bCs/>
          <w:color w:val="000000"/>
          <w:sz w:val="17"/>
          <w:szCs w:val="17"/>
          <w:lang w:eastAsia="pt-BR"/>
        </w:rPr>
        <w:t>Caso não seja possível a entrega dos materiais no prazo estabelecido, a Contratada deverá comunicar formalmente à Administração, apresentando as devidas justificativas, com antecedência mínima de 02 (dois) dias, para fins de análise e eventual autorização de prorrogação de prazo.</w:t>
      </w:r>
    </w:p>
    <w:p w14:paraId="6D7FE00A">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6.5. </w:t>
      </w:r>
      <w:r>
        <w:rPr>
          <w:rFonts w:ascii="Arial" w:hAnsi="Arial" w:eastAsia="Arial-BoldMT" w:cs="Arial"/>
          <w:bCs/>
          <w:color w:val="000000"/>
          <w:sz w:val="17"/>
          <w:szCs w:val="17"/>
          <w:lang w:eastAsia="pt-BR"/>
        </w:rPr>
        <w:t>Os materiais entregues que não atenderem às especificações técnicas exigidas neste Termo de Referência não serão aceitos, devendo a Contratada proceder à substituição no prazo máximo de 05 (cinco) dias, sem ônus adicional para a Administração.</w:t>
      </w:r>
    </w:p>
    <w:p w14:paraId="463C1B31">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6.6. </w:t>
      </w:r>
      <w:r>
        <w:rPr>
          <w:rFonts w:ascii="Arial" w:hAnsi="Arial" w:eastAsia="Arial-BoldMT" w:cs="Arial"/>
          <w:bCs/>
          <w:color w:val="000000"/>
          <w:sz w:val="17"/>
          <w:szCs w:val="17"/>
          <w:lang w:eastAsia="pt-BR"/>
        </w:rPr>
        <w:t>A entrega dos materiais deverá ser formalizada mediante apresentação de nota fiscal correspondente, acompanhada, quando aplicável, da documentação pertinente.</w:t>
      </w:r>
    </w:p>
    <w:p w14:paraId="3FF180D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6.7. </w:t>
      </w:r>
      <w:r>
        <w:rPr>
          <w:rFonts w:ascii="Arial" w:hAnsi="Arial" w:eastAsia="Arial-BoldMT" w:cs="Arial"/>
          <w:bCs/>
          <w:color w:val="000000"/>
          <w:sz w:val="17"/>
          <w:szCs w:val="17"/>
          <w:lang w:eastAsia="pt-BR"/>
        </w:rPr>
        <w:t>A entrega dos materiais deverá ocorrer no horário compreendido entre 07h00 e 16h00, exclusivamente em dias úteis, salvo autorização expressa da Administração.</w:t>
      </w:r>
    </w:p>
    <w:p w14:paraId="41E7002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p>
    <w:p w14:paraId="3C2EE3E5">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7. MODELO DE GESTÃO DO CONTRATO</w:t>
      </w:r>
    </w:p>
    <w:p w14:paraId="361E9992">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7.1. Das Obrigações da Contratada</w:t>
      </w:r>
    </w:p>
    <w:p w14:paraId="3170634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7.1.1. </w:t>
      </w:r>
      <w:r>
        <w:rPr>
          <w:rFonts w:ascii="Arial" w:hAnsi="Arial" w:eastAsia="Arial-BoldMT" w:cs="Arial"/>
          <w:bCs/>
          <w:color w:val="000000"/>
          <w:sz w:val="17"/>
          <w:szCs w:val="17"/>
          <w:lang w:eastAsia="pt-BR"/>
        </w:rPr>
        <w:t>A CONTRATADA deverá entregar, no local indicado, os produtos adquiridos no prazo de até 15 (quinze) dias corridos, contados a partir da data de recebimento da Solicitação de Fornecimento, devendo a entrega ocorrer no endereço informado pelo setor requisitante.</w:t>
      </w:r>
    </w:p>
    <w:p w14:paraId="500BDA7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7.1.2. </w:t>
      </w:r>
      <w:r>
        <w:rPr>
          <w:rFonts w:ascii="Arial" w:hAnsi="Arial" w:eastAsia="Arial-BoldMT" w:cs="Arial"/>
          <w:bCs/>
          <w:color w:val="000000"/>
          <w:sz w:val="17"/>
          <w:szCs w:val="17"/>
          <w:lang w:eastAsia="pt-BR"/>
        </w:rPr>
        <w:t>A CONTRATADA deverá fornecer o objeto conforme a descrição do produto licitado, nas quantidades discriminadas na Solicitação de Fornecimento previamente encaminhada.</w:t>
      </w:r>
    </w:p>
    <w:p w14:paraId="4CD74BD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7.1.3. </w:t>
      </w:r>
      <w:r>
        <w:rPr>
          <w:rFonts w:ascii="Arial" w:hAnsi="Arial" w:eastAsia="Arial-BoldMT" w:cs="Arial"/>
          <w:bCs/>
          <w:color w:val="000000"/>
          <w:sz w:val="17"/>
          <w:szCs w:val="17"/>
          <w:lang w:eastAsia="pt-BR"/>
        </w:rPr>
        <w:t>A emissão do recebimento definitivo não eximirá a CONTRATADA de suas responsabilidades, nem invalidará ou comprometerá qualquer reclamação que o órgão contratante venha a formular, baseada na existência de produto inadequado, defeituoso ou em desacordo com as especificações.</w:t>
      </w:r>
    </w:p>
    <w:p w14:paraId="381769FE">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7.1.4. </w:t>
      </w:r>
      <w:r>
        <w:rPr>
          <w:rFonts w:ascii="Arial" w:hAnsi="Arial" w:eastAsia="Arial-BoldMT" w:cs="Arial"/>
          <w:bCs/>
          <w:color w:val="000000"/>
          <w:sz w:val="17"/>
          <w:szCs w:val="17"/>
          <w:lang w:eastAsia="pt-BR"/>
        </w:rPr>
        <w:t>A CONTRATADA deverá arcar com todos os ônus referentes a transporte, frete, carga e descarga necessários à execução do objeto.</w:t>
      </w:r>
    </w:p>
    <w:p w14:paraId="3F79D5A4">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7.1.5. </w:t>
      </w:r>
      <w:r>
        <w:rPr>
          <w:rFonts w:ascii="Arial" w:hAnsi="Arial" w:eastAsia="Arial-BoldMT" w:cs="Arial"/>
          <w:bCs/>
          <w:color w:val="000000"/>
          <w:sz w:val="17"/>
          <w:szCs w:val="17"/>
          <w:lang w:eastAsia="pt-BR"/>
        </w:rPr>
        <w:t>A CONTRATADA deverá prestar todas as informações e esclarecimentos que lhe forem solicitados pela CONTRATANTE, relacionados à execução do objeto.</w:t>
      </w:r>
    </w:p>
    <w:p w14:paraId="675E0681">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7.1.6. </w:t>
      </w:r>
      <w:r>
        <w:rPr>
          <w:rFonts w:ascii="Arial" w:hAnsi="Arial" w:eastAsia="Arial-BoldMT" w:cs="Arial"/>
          <w:bCs/>
          <w:color w:val="000000"/>
          <w:sz w:val="17"/>
          <w:szCs w:val="17"/>
          <w:lang w:eastAsia="pt-BR"/>
        </w:rPr>
        <w:t>Assumir integral responsabilidade pelos encargos fiscais, comerciais, trabalhistas, previdenciários e demais encargos decorrentes da adjudicação e da execução contratual.</w:t>
      </w:r>
    </w:p>
    <w:p w14:paraId="3200D76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7.1.7. </w:t>
      </w:r>
      <w:r>
        <w:rPr>
          <w:rFonts w:ascii="Arial" w:hAnsi="Arial" w:eastAsia="Arial-BoldMT" w:cs="Arial"/>
          <w:bCs/>
          <w:color w:val="000000"/>
          <w:sz w:val="17"/>
          <w:szCs w:val="17"/>
          <w:lang w:eastAsia="pt-BR"/>
        </w:rPr>
        <w:t>Submeter-se à fiscalização da CONTRATANTE, por meio do setor competente, para verificação da qualidade dos itens fornecidos, podendo esta orientar, fiscalizar e intervir, ao seu exclusivo interesse, com a finalidade de garantir o fiel cumprimento das condições pactuadas.</w:t>
      </w:r>
    </w:p>
    <w:p w14:paraId="0A46C72B">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7.1.8. </w:t>
      </w:r>
      <w:r>
        <w:rPr>
          <w:rFonts w:ascii="Arial" w:hAnsi="Arial" w:eastAsia="Arial-BoldMT" w:cs="Arial"/>
          <w:bCs/>
          <w:color w:val="000000"/>
          <w:sz w:val="17"/>
          <w:szCs w:val="17"/>
          <w:lang w:eastAsia="pt-BR"/>
        </w:rPr>
        <w:t>Reparar, corrigir, remover, reconstruir ou substituir, às suas expensas, no todo ou em parte, o objeto do contrato em que se verificarem vícios, defeitos, incorreções ou não conformidades resultantes da entrega.</w:t>
      </w:r>
    </w:p>
    <w:p w14:paraId="0BFD2B21">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7.1.9. </w:t>
      </w:r>
      <w:r>
        <w:rPr>
          <w:rFonts w:ascii="Arial" w:hAnsi="Arial" w:eastAsia="Arial-BoldMT" w:cs="Arial"/>
          <w:bCs/>
          <w:color w:val="000000"/>
          <w:sz w:val="17"/>
          <w:szCs w:val="17"/>
          <w:lang w:eastAsia="pt-BR"/>
        </w:rPr>
        <w:t>Manter, durante toda a vigência do contrato, em compatibilidade com as obrigações assumidas, todas as condições de habilitação e qualificação exigidas na licitação, devendo comunicar imediatamente à CONTRATANTE qualquer alteração que possa comprometer a manutenção da contratação, bem como substituir documentos com prazo de validade expirado.</w:t>
      </w:r>
    </w:p>
    <w:p w14:paraId="2AD3C09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7.1.10. </w:t>
      </w:r>
      <w:r>
        <w:rPr>
          <w:rFonts w:ascii="Arial" w:hAnsi="Arial" w:eastAsia="Arial-BoldMT" w:cs="Arial"/>
          <w:bCs/>
          <w:color w:val="000000"/>
          <w:sz w:val="17"/>
          <w:szCs w:val="17"/>
          <w:lang w:eastAsia="pt-BR"/>
        </w:rPr>
        <w:t>Efetuar a entrega do objeto em perfeitas condições, conforme especificações, prazos e locais estabelecidos neste Termo de Referência e seus anexos, acompanhado da respectiva nota fiscal, na qual deverão constar, no mínimo, as seguintes informações: marca, fabricante, modelo (quando aplicável), procedência e prazo de garantia ou validade.</w:t>
      </w:r>
    </w:p>
    <w:p w14:paraId="3C69923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7.1.11. </w:t>
      </w:r>
      <w:r>
        <w:rPr>
          <w:rFonts w:ascii="Arial" w:hAnsi="Arial" w:eastAsia="Arial-BoldMT" w:cs="Arial"/>
          <w:bCs/>
          <w:color w:val="000000"/>
          <w:sz w:val="17"/>
          <w:szCs w:val="17"/>
          <w:lang w:eastAsia="pt-BR"/>
        </w:rPr>
        <w:t>Comunicar imediatamente à CONTRATANTE qualquer anormalidade de caráter urgente e prestar os esclarecimentos que se fizerem necessários.</w:t>
      </w:r>
    </w:p>
    <w:p w14:paraId="1B688CC7">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7.1.12. </w:t>
      </w:r>
      <w:r>
        <w:rPr>
          <w:rFonts w:ascii="Arial" w:hAnsi="Arial" w:eastAsia="Arial-BoldMT" w:cs="Arial"/>
          <w:bCs/>
          <w:color w:val="000000"/>
          <w:sz w:val="17"/>
          <w:szCs w:val="17"/>
          <w:lang w:eastAsia="pt-BR"/>
        </w:rPr>
        <w:t>Fazer constar na nota fiscal o número da Solicitação de Fornecimento e/ou o número do empenho correspondente ao fornecimento realizado.</w:t>
      </w:r>
    </w:p>
    <w:p w14:paraId="4226E3D8">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Arial" w:hAnsi="Arial" w:eastAsia="Arial-BoldMT"/>
          <w:b/>
          <w:bCs w:val="0"/>
          <w:color w:val="000000"/>
          <w:sz w:val="17"/>
          <w:szCs w:val="17"/>
          <w:lang w:eastAsia="pt-BR"/>
        </w:rPr>
      </w:pPr>
      <w:r>
        <w:rPr>
          <w:rFonts w:hint="default" w:ascii="Arial" w:hAnsi="Arial" w:eastAsia="Arial-BoldMT"/>
          <w:b/>
          <w:bCs w:val="0"/>
          <w:color w:val="000000"/>
          <w:sz w:val="17"/>
          <w:szCs w:val="17"/>
          <w:lang w:eastAsia="pt-BR"/>
        </w:rPr>
        <w:t>7.2. Obrigações da Contratante</w:t>
      </w:r>
    </w:p>
    <w:p w14:paraId="3DA39D4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Arial" w:hAnsi="Arial" w:eastAsia="Arial-BoldMT"/>
          <w:bCs/>
          <w:color w:val="000000"/>
          <w:sz w:val="17"/>
          <w:szCs w:val="17"/>
          <w:lang w:eastAsia="pt-BR"/>
        </w:rPr>
      </w:pPr>
      <w:r>
        <w:rPr>
          <w:rFonts w:hint="default" w:ascii="Arial" w:hAnsi="Arial" w:eastAsia="Arial-BoldMT"/>
          <w:b/>
          <w:bCs w:val="0"/>
          <w:color w:val="000000"/>
          <w:sz w:val="17"/>
          <w:szCs w:val="17"/>
          <w:lang w:eastAsia="pt-BR"/>
        </w:rPr>
        <w:t>7.2.1.</w:t>
      </w:r>
      <w:r>
        <w:rPr>
          <w:rFonts w:hint="default" w:ascii="Arial" w:hAnsi="Arial" w:eastAsia="Arial-BoldMT"/>
          <w:bCs/>
          <w:color w:val="000000"/>
          <w:sz w:val="17"/>
          <w:szCs w:val="17"/>
          <w:lang w:eastAsia="pt-BR"/>
        </w:rPr>
        <w:t xml:space="preserve"> Acompanhar e fiscalizar a execução do objeto, por meio de servidor designado, verificando o fornecimento e a correta utilização dos materiais destinados aos procedimentos hospitalares, registrando formalmente eventuais falhas e comunicando à Contratada as medidas corretivas necessárias.</w:t>
      </w:r>
    </w:p>
    <w:p w14:paraId="71610802">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Arial" w:hAnsi="Arial" w:eastAsia="Arial-BoldMT"/>
          <w:bCs/>
          <w:color w:val="000000"/>
          <w:sz w:val="17"/>
          <w:szCs w:val="17"/>
          <w:lang w:eastAsia="pt-BR"/>
        </w:rPr>
      </w:pPr>
      <w:r>
        <w:rPr>
          <w:rFonts w:hint="default" w:ascii="Arial" w:hAnsi="Arial" w:eastAsia="Arial-BoldMT"/>
          <w:b/>
          <w:bCs w:val="0"/>
          <w:color w:val="000000"/>
          <w:sz w:val="17"/>
          <w:szCs w:val="17"/>
          <w:lang w:eastAsia="pt-BR"/>
        </w:rPr>
        <w:t>7.2.2.</w:t>
      </w:r>
      <w:r>
        <w:rPr>
          <w:rFonts w:hint="default" w:ascii="Arial" w:hAnsi="Arial" w:eastAsia="Arial-BoldMT"/>
          <w:bCs/>
          <w:color w:val="000000"/>
          <w:sz w:val="17"/>
          <w:szCs w:val="17"/>
          <w:lang w:eastAsia="pt-BR"/>
        </w:rPr>
        <w:t xml:space="preserve"> Emitir as Autorizações de Fornecimento contendo a descrição dos materiais hospitalares, quantitativos, prazos de entrega, local de entrega/uso e demais informações indispensáveis à correta execução do objeto.</w:t>
      </w:r>
    </w:p>
    <w:p w14:paraId="0CC6CFF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Arial" w:hAnsi="Arial" w:eastAsia="Arial-BoldMT"/>
          <w:bCs/>
          <w:color w:val="000000"/>
          <w:sz w:val="17"/>
          <w:szCs w:val="17"/>
          <w:lang w:eastAsia="pt-BR"/>
        </w:rPr>
      </w:pPr>
      <w:r>
        <w:rPr>
          <w:rFonts w:hint="default" w:ascii="Arial" w:hAnsi="Arial" w:eastAsia="Arial-BoldMT"/>
          <w:b/>
          <w:bCs w:val="0"/>
          <w:color w:val="000000"/>
          <w:sz w:val="17"/>
          <w:szCs w:val="17"/>
          <w:lang w:eastAsia="pt-BR"/>
        </w:rPr>
        <w:t>7.2.3.</w:t>
      </w:r>
      <w:r>
        <w:rPr>
          <w:rFonts w:hint="default" w:ascii="Arial" w:hAnsi="Arial" w:eastAsia="Arial-BoldMT"/>
          <w:bCs/>
          <w:color w:val="000000"/>
          <w:sz w:val="17"/>
          <w:szCs w:val="17"/>
          <w:lang w:eastAsia="pt-BR"/>
        </w:rPr>
        <w:t xml:space="preserve"> Atestar o recebimento e a conformidade dos materiais hospitalares na nota fiscal correspondente, após verificação de que atendem às especificações técnicas, quantidades e condições estabelecidas neste Termo de Referência.</w:t>
      </w:r>
    </w:p>
    <w:p w14:paraId="4C72513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Arial" w:hAnsi="Arial" w:eastAsia="Arial-BoldMT"/>
          <w:bCs/>
          <w:color w:val="000000"/>
          <w:sz w:val="17"/>
          <w:szCs w:val="17"/>
          <w:lang w:eastAsia="pt-BR"/>
        </w:rPr>
      </w:pPr>
      <w:r>
        <w:rPr>
          <w:rFonts w:hint="default" w:ascii="Arial" w:hAnsi="Arial" w:eastAsia="Arial-BoldMT"/>
          <w:b/>
          <w:bCs w:val="0"/>
          <w:color w:val="000000"/>
          <w:sz w:val="17"/>
          <w:szCs w:val="17"/>
          <w:lang w:eastAsia="pt-BR"/>
        </w:rPr>
        <w:t>7.2.4.</w:t>
      </w:r>
      <w:r>
        <w:rPr>
          <w:rFonts w:hint="default" w:ascii="Arial" w:hAnsi="Arial" w:eastAsia="Arial-BoldMT"/>
          <w:bCs/>
          <w:color w:val="000000"/>
          <w:sz w:val="17"/>
          <w:szCs w:val="17"/>
          <w:lang w:eastAsia="pt-BR"/>
        </w:rPr>
        <w:t xml:space="preserve"> Rejeitar, no todo ou em parte, os materiais hospitalares fornecidos em desacordo com as condições estabelecidas, formalizando a ocorrência e solicitando a substituição ou correção cabível.</w:t>
      </w:r>
    </w:p>
    <w:p w14:paraId="1170EC7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Arial" w:hAnsi="Arial" w:eastAsia="Arial-BoldMT"/>
          <w:bCs/>
          <w:color w:val="000000"/>
          <w:sz w:val="17"/>
          <w:szCs w:val="17"/>
          <w:lang w:eastAsia="pt-BR"/>
        </w:rPr>
      </w:pPr>
      <w:r>
        <w:rPr>
          <w:rFonts w:hint="default" w:ascii="Arial" w:hAnsi="Arial" w:eastAsia="Arial-BoldMT"/>
          <w:b/>
          <w:bCs w:val="0"/>
          <w:color w:val="000000"/>
          <w:sz w:val="17"/>
          <w:szCs w:val="17"/>
          <w:lang w:eastAsia="pt-BR"/>
        </w:rPr>
        <w:t xml:space="preserve">7.2.5. </w:t>
      </w:r>
      <w:r>
        <w:rPr>
          <w:rFonts w:hint="default" w:ascii="Arial" w:hAnsi="Arial" w:eastAsia="Arial-BoldMT"/>
          <w:bCs/>
          <w:color w:val="000000"/>
          <w:sz w:val="17"/>
          <w:szCs w:val="17"/>
          <w:lang w:eastAsia="pt-BR"/>
        </w:rPr>
        <w:t>Efetuar o pagamento das notas fiscais devidamente atestadas, dentro dos prazos estabelecidos no contrato.</w:t>
      </w:r>
    </w:p>
    <w:p w14:paraId="33876B8D">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Arial" w:hAnsi="Arial" w:eastAsia="Arial-BoldMT"/>
          <w:bCs/>
          <w:color w:val="000000"/>
          <w:sz w:val="17"/>
          <w:szCs w:val="17"/>
          <w:lang w:eastAsia="pt-BR"/>
        </w:rPr>
      </w:pPr>
      <w:r>
        <w:rPr>
          <w:rFonts w:hint="default" w:ascii="Arial" w:hAnsi="Arial" w:eastAsia="Arial-BoldMT"/>
          <w:b/>
          <w:bCs w:val="0"/>
          <w:color w:val="000000"/>
          <w:sz w:val="17"/>
          <w:szCs w:val="17"/>
          <w:lang w:eastAsia="pt-BR"/>
        </w:rPr>
        <w:t>7.2.6.</w:t>
      </w:r>
      <w:r>
        <w:rPr>
          <w:rFonts w:hint="default" w:ascii="Arial" w:hAnsi="Arial" w:eastAsia="Arial-BoldMT"/>
          <w:bCs/>
          <w:color w:val="000000"/>
          <w:sz w:val="17"/>
          <w:szCs w:val="17"/>
          <w:lang w:eastAsia="pt-BR"/>
        </w:rPr>
        <w:t xml:space="preserve"> A fiscalização exercida pela Administração não exclui nem reduz a responsabilidade da Contratada pelo fornecimento adequado dos materiais hospitalares, nem transfere à Contratante a responsabilidade por eventuais danos decorrentes do fornecimento ou da utilização dos materiais.</w:t>
      </w:r>
    </w:p>
    <w:p w14:paraId="6132872D">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hint="default" w:ascii="Arial" w:hAnsi="Arial" w:eastAsia="Arial-BoldMT"/>
          <w:bCs/>
          <w:color w:val="000000"/>
          <w:sz w:val="17"/>
          <w:szCs w:val="17"/>
          <w:lang w:eastAsia="pt-BR"/>
        </w:rPr>
      </w:pPr>
      <w:r>
        <w:rPr>
          <w:rFonts w:hint="default" w:ascii="Arial" w:hAnsi="Arial" w:eastAsia="Arial-BoldMT"/>
          <w:b/>
          <w:bCs w:val="0"/>
          <w:color w:val="000000"/>
          <w:sz w:val="17"/>
          <w:szCs w:val="17"/>
          <w:lang w:eastAsia="pt-BR"/>
        </w:rPr>
        <w:t>7.2.7.</w:t>
      </w:r>
      <w:r>
        <w:rPr>
          <w:rFonts w:hint="default" w:ascii="Arial" w:hAnsi="Arial" w:eastAsia="Arial-BoldMT"/>
          <w:bCs/>
          <w:color w:val="000000"/>
          <w:sz w:val="17"/>
          <w:szCs w:val="17"/>
          <w:lang w:eastAsia="pt-BR"/>
        </w:rPr>
        <w:t xml:space="preserve"> Notificar formalmente a Contratada em caso de descumprimento das obrigações contratuais, concedendo prazo para manifestação e regularização, quando cabível.</w:t>
      </w:r>
    </w:p>
    <w:p w14:paraId="6F30505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b/>
          <w:bCs w:val="0"/>
          <w:color w:val="000000"/>
          <w:sz w:val="17"/>
          <w:szCs w:val="17"/>
          <w:lang w:eastAsia="pt-BR"/>
        </w:rPr>
        <w:t>7.2.8.</w:t>
      </w:r>
      <w:r>
        <w:rPr>
          <w:rFonts w:hint="default" w:ascii="Arial" w:hAnsi="Arial" w:eastAsia="Arial-BoldMT"/>
          <w:bCs/>
          <w:color w:val="000000"/>
          <w:sz w:val="17"/>
          <w:szCs w:val="17"/>
          <w:lang w:eastAsia="pt-BR"/>
        </w:rPr>
        <w:t xml:space="preserve"> A Contratante poderá suspender ou interromper o fornecimento dos materiais hospitalares, no todo ou em parte, sempre que necessário para resguardar o interesse público, mediante comunicação formal à Contratada.</w:t>
      </w:r>
    </w:p>
    <w:p w14:paraId="62AEC5B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p>
    <w:p w14:paraId="71897CD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8. DA FISCALIZAÇÃO DO CONTRATO </w:t>
      </w:r>
    </w:p>
    <w:p w14:paraId="13FA6CD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themeColor="text1"/>
          <w:sz w:val="17"/>
          <w:szCs w:val="17"/>
          <w:lang w:eastAsia="pt-BR"/>
          <w14:textFill>
            <w14:solidFill>
              <w14:schemeClr w14:val="tx1"/>
            </w14:solidFill>
          </w14:textFill>
        </w:rPr>
      </w:pPr>
      <w:r>
        <w:rPr>
          <w:rFonts w:ascii="Arial" w:hAnsi="Arial" w:eastAsia="Arial-BoldMT" w:cs="Arial"/>
          <w:b/>
          <w:bCs/>
          <w:color w:val="000000" w:themeColor="text1"/>
          <w:sz w:val="17"/>
          <w:szCs w:val="17"/>
          <w:lang w:eastAsia="pt-BR"/>
          <w14:textFill>
            <w14:solidFill>
              <w14:schemeClr w14:val="tx1"/>
            </w14:solidFill>
          </w14:textFill>
        </w:rPr>
        <w:t>8.1.</w:t>
      </w:r>
      <w:r>
        <w:rPr>
          <w:rFonts w:ascii="Arial" w:hAnsi="Arial" w:eastAsia="Arial-BoldMT" w:cs="Arial"/>
          <w:bCs/>
          <w:color w:val="000000" w:themeColor="text1"/>
          <w:sz w:val="17"/>
          <w:szCs w:val="17"/>
          <w:lang w:eastAsia="pt-BR"/>
          <w14:textFill>
            <w14:solidFill>
              <w14:schemeClr w14:val="tx1"/>
            </w14:solidFill>
          </w14:textFill>
        </w:rPr>
        <w:t>A execução do contrato deverá ser acompanhada e fiscalizada pelos fiscais do contrato, ou por seus respectivos substitutos, que vierem a ser formalmente designados pela Administração, a saber:</w:t>
      </w:r>
    </w:p>
    <w:p w14:paraId="1345A222">
      <w:pPr>
        <w:pStyle w:val="220"/>
        <w:keepNext w:val="0"/>
        <w:keepLines w:val="0"/>
        <w:pageBreakBefore w:val="0"/>
        <w:widowControl/>
        <w:numPr>
          <w:ilvl w:val="0"/>
          <w:numId w:val="19"/>
        </w:numPr>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color w:val="000000" w:themeColor="text1"/>
          <w:sz w:val="17"/>
          <w:szCs w:val="17"/>
          <w:lang w:val="en-US" w:eastAsia="pt-BR"/>
          <w14:textFill>
            <w14:solidFill>
              <w14:schemeClr w14:val="tx1"/>
            </w14:solidFill>
          </w14:textFill>
        </w:rPr>
      </w:pPr>
      <w:r>
        <w:rPr>
          <w:rFonts w:ascii="Arial" w:hAnsi="Arial" w:eastAsia="Arial-BoldMT" w:cs="Arial"/>
          <w:bCs/>
          <w:color w:val="000000" w:themeColor="text1"/>
          <w:sz w:val="17"/>
          <w:szCs w:val="17"/>
          <w:lang w:eastAsia="pt-BR"/>
          <w14:textFill>
            <w14:solidFill>
              <w14:schemeClr w14:val="tx1"/>
            </w14:solidFill>
          </w14:textFill>
        </w:rPr>
        <w:t xml:space="preserve">Válber Araújo Xavier </w:t>
      </w:r>
    </w:p>
    <w:p w14:paraId="748EE79E">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sz w:val="17"/>
          <w:szCs w:val="17"/>
          <w:lang w:eastAsia="pt-BR"/>
        </w:rPr>
      </w:pPr>
      <w:r>
        <w:rPr>
          <w:rFonts w:ascii="Arial" w:hAnsi="Arial" w:eastAsia="Arial-BoldMT" w:cs="Arial"/>
          <w:b/>
          <w:sz w:val="17"/>
          <w:szCs w:val="17"/>
          <w:lang w:val="en-US" w:eastAsia="pt-BR"/>
        </w:rPr>
        <w:t xml:space="preserve">8.2. </w:t>
      </w:r>
      <w:r>
        <w:rPr>
          <w:rFonts w:ascii="Arial" w:hAnsi="Arial" w:eastAsia="Arial-BoldMT" w:cs="Arial"/>
          <w:sz w:val="17"/>
          <w:szCs w:val="17"/>
          <w:lang w:eastAsia="pt-BR"/>
        </w:rPr>
        <w:t>Fica a CONTRATADA obrigada a permitir e facilitar, a qualquer tempo, a fiscalização dos materiais médico-hospitalares contratados, facultando o livre acesso a todos os registros, documentos e informações pertinentes à execução do contrato, sem que essa fiscalização implique, sob qualquer título, em transferência de responsabilidade para a CONTRATANTE.</w:t>
      </w:r>
    </w:p>
    <w:p w14:paraId="63124E0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sz w:val="17"/>
          <w:szCs w:val="17"/>
          <w:lang w:eastAsia="pt-BR"/>
        </w:rPr>
      </w:pPr>
      <w:r>
        <w:rPr>
          <w:rFonts w:ascii="Arial" w:hAnsi="Arial" w:eastAsia="Arial-BoldMT" w:cs="Arial"/>
          <w:b/>
          <w:sz w:val="17"/>
          <w:szCs w:val="17"/>
          <w:lang w:eastAsia="pt-BR"/>
        </w:rPr>
        <w:t>8.3.</w:t>
      </w:r>
      <w:r>
        <w:rPr>
          <w:rFonts w:ascii="Arial" w:hAnsi="Arial" w:eastAsia="Arial-BoldMT" w:cs="Arial"/>
          <w:sz w:val="17"/>
          <w:szCs w:val="17"/>
          <w:lang w:eastAsia="pt-BR"/>
        </w:rPr>
        <w:t xml:space="preserve"> A fiscalização ou o acompanhamento da execução contratual pela Administração não exclui nem reduz a responsabilidade da CONTRATADA quanto ao cumprimento integral das obrigações assumidas.</w:t>
      </w:r>
    </w:p>
    <w:p w14:paraId="7146BEC8">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sz w:val="17"/>
          <w:szCs w:val="17"/>
          <w:lang w:eastAsia="pt-BR"/>
        </w:rPr>
      </w:pPr>
      <w:r>
        <w:rPr>
          <w:rFonts w:ascii="Arial" w:hAnsi="Arial" w:eastAsia="Arial-BoldMT" w:cs="Arial"/>
          <w:b/>
          <w:sz w:val="17"/>
          <w:szCs w:val="17"/>
          <w:lang w:eastAsia="pt-BR"/>
        </w:rPr>
        <w:t>8.4.</w:t>
      </w:r>
      <w:r>
        <w:rPr>
          <w:rFonts w:ascii="Arial" w:hAnsi="Arial" w:eastAsia="Arial-BoldMT" w:cs="Arial"/>
          <w:sz w:val="17"/>
          <w:szCs w:val="17"/>
          <w:lang w:eastAsia="pt-BR"/>
        </w:rPr>
        <w:t xml:space="preserve"> Compete ao Gestor do Contrato acima identificado exercer a administração do contrato, com atribuições voltadas ao controle das questões administrativas e documentais da contratação, tais como: verificar a correta emissão e empenho dos recursos conforme as respectivas dotações orçamentárias; acompanhar o prazo de vigência do contrato e das atas de registro de preços; analisar a necessidade e a possibilidade de prorrogação ou renovação, quando cabível; bem como avaliar a viabilidade de eventual reequilíbrio econômico-financeiro e da celebração de termos aditivos, nos termos da legislação vigente.</w:t>
      </w:r>
    </w:p>
    <w:p w14:paraId="706D10E3">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sz w:val="17"/>
          <w:szCs w:val="17"/>
          <w:lang w:eastAsia="pt-BR"/>
        </w:rPr>
      </w:pPr>
      <w:r>
        <w:rPr>
          <w:rFonts w:ascii="Arial" w:hAnsi="Arial" w:eastAsia="Arial-BoldMT" w:cs="Arial"/>
          <w:b/>
          <w:sz w:val="17"/>
          <w:szCs w:val="17"/>
          <w:lang w:eastAsia="pt-BR"/>
        </w:rPr>
        <w:t>8.5.</w:t>
      </w:r>
      <w:r>
        <w:rPr>
          <w:rFonts w:ascii="Arial" w:hAnsi="Arial" w:eastAsia="Arial-BoldMT" w:cs="Arial"/>
          <w:sz w:val="17"/>
          <w:szCs w:val="17"/>
          <w:lang w:eastAsia="pt-BR"/>
        </w:rPr>
        <w:t xml:space="preserve"> Compete ao Fiscal do Contrato acima identificado proceder à verificação objetiva do objeto contratado, devendo o servidor designado avaliar a qualidade, a conformidade técnica, o prazo de validade, o acondicionamento, a integridade das embalagens e a adequação dos materiais médico-hospitalares entregues às especificações constantes neste Termo de Referência, bem como encaminhar informações ao Gestor do Contrato, atestar os documentos fiscais, manter o relacionamento necessário com a empresa contratada e dirimir dúvidas surgidas no curso da execução contratual.</w:t>
      </w:r>
    </w:p>
    <w:p w14:paraId="53061D7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sz w:val="17"/>
          <w:szCs w:val="17"/>
          <w:lang w:eastAsia="pt-BR"/>
        </w:rPr>
      </w:pPr>
      <w:r>
        <w:rPr>
          <w:rFonts w:ascii="Arial" w:hAnsi="Arial" w:eastAsia="Arial-BoldMT" w:cs="Arial"/>
          <w:b/>
          <w:sz w:val="17"/>
          <w:szCs w:val="17"/>
          <w:lang w:eastAsia="pt-BR"/>
        </w:rPr>
        <w:t>8.6.</w:t>
      </w:r>
      <w:r>
        <w:rPr>
          <w:rFonts w:ascii="Arial" w:hAnsi="Arial" w:eastAsia="Arial-BoldMT" w:cs="Arial"/>
          <w:sz w:val="17"/>
          <w:szCs w:val="17"/>
          <w:lang w:eastAsia="pt-BR"/>
        </w:rPr>
        <w:t xml:space="preserve"> O Fiscal do Contrato deverá registrar, em instrumento próprio, todas as ocorrências relacionadas à execução do contrato, indicando data, horário, local e os eventuais responsáveis, bem como determinar as medidas necessárias à correção de falhas ou irregularidades constatadas, encaminhando os registros à autoridade competente para a adoção das providências cabíveis.</w:t>
      </w:r>
    </w:p>
    <w:p w14:paraId="67C93795">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sz w:val="17"/>
          <w:szCs w:val="17"/>
          <w:lang w:eastAsia="pt-BR"/>
        </w:rPr>
      </w:pPr>
      <w:r>
        <w:rPr>
          <w:rFonts w:ascii="Arial" w:hAnsi="Arial" w:eastAsia="Arial-BoldMT" w:cs="Arial"/>
          <w:b/>
          <w:sz w:val="17"/>
          <w:szCs w:val="17"/>
          <w:lang w:eastAsia="pt-BR"/>
        </w:rPr>
        <w:t>8.7.</w:t>
      </w:r>
      <w:r>
        <w:rPr>
          <w:rFonts w:ascii="Arial" w:hAnsi="Arial" w:eastAsia="Arial-BoldMT" w:cs="Arial"/>
          <w:sz w:val="17"/>
          <w:szCs w:val="17"/>
          <w:lang w:eastAsia="pt-BR"/>
        </w:rPr>
        <w:t xml:space="preserve"> A fiscalização exercida pela Administração não exclui nem reduz a responsabilidade da CONTRATADA, inclusive perante terceiros, por quaisquer irregularidades verificadas na execução do contrato, ainda que decorrentes de imperfeições nos materiais fornecidos, vícios ocultos, prazos de validade vencidos, acondicionamento inadequado ou fornecimento de itens em desacordo com as especificações estabelecidas, não implicando, em nenhuma hipótese, em corresponsabilidade da Administração Pública ou de seus agentes, nos termos da Lei nº 14.133/2021.</w:t>
      </w:r>
    </w:p>
    <w:p w14:paraId="75F3273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sz w:val="17"/>
          <w:szCs w:val="17"/>
          <w:lang w:val="en-US" w:eastAsia="pt-BR"/>
        </w:rPr>
      </w:pPr>
    </w:p>
    <w:p w14:paraId="42806838">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9. RESPONSÁVEL PELA COTAÇÃO DE PREÇOS</w:t>
      </w:r>
    </w:p>
    <w:p w14:paraId="52D37508">
      <w:pPr>
        <w:pStyle w:val="220"/>
        <w:keepNext w:val="0"/>
        <w:keepLines w:val="0"/>
        <w:pageBreakBefore w:val="0"/>
        <w:widowControl/>
        <w:numPr>
          <w:ilvl w:val="0"/>
          <w:numId w:val="20"/>
        </w:numPr>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Clélio Nunes Simões</w:t>
      </w:r>
    </w:p>
    <w:p w14:paraId="17030CDC">
      <w:pPr>
        <w:pStyle w:val="220"/>
        <w:keepNext w:val="0"/>
        <w:keepLines w:val="0"/>
        <w:pageBreakBefore w:val="0"/>
        <w:widowControl/>
        <w:numPr>
          <w:ilvl w:val="0"/>
          <w:numId w:val="0"/>
        </w:numPr>
        <w:suppressAutoHyphens/>
        <w:kinsoku/>
        <w:wordWrap/>
        <w:overflowPunct/>
        <w:topLinePunct w:val="0"/>
        <w:autoSpaceDE/>
        <w:autoSpaceDN/>
        <w:bidi w:val="0"/>
        <w:adjustRightInd/>
        <w:snapToGrid w:val="0"/>
        <w:spacing w:line="240" w:lineRule="auto"/>
        <w:ind w:leftChars="0"/>
        <w:jc w:val="both"/>
        <w:textAlignment w:val="auto"/>
        <w:rPr>
          <w:rFonts w:ascii="Arial" w:hAnsi="Arial" w:eastAsia="Arial-BoldMT" w:cs="Arial"/>
          <w:bCs/>
          <w:color w:val="000000"/>
          <w:sz w:val="17"/>
          <w:szCs w:val="17"/>
          <w:lang w:eastAsia="pt-BR"/>
        </w:rPr>
      </w:pPr>
    </w:p>
    <w:p w14:paraId="5EA67A9A">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10. CRITÉRIOS DE MEDIÇÃO E PAGAMENTO</w:t>
      </w:r>
    </w:p>
    <w:p w14:paraId="530C061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10.1. Recebimento</w:t>
      </w:r>
    </w:p>
    <w:p w14:paraId="534B99C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10.1.1</w:t>
      </w:r>
      <w:r>
        <w:rPr>
          <w:rFonts w:ascii="Arial" w:hAnsi="Arial" w:eastAsia="Arial-BoldMT" w:cs="Arial"/>
          <w:bCs/>
          <w:color w:val="000000"/>
          <w:sz w:val="17"/>
          <w:szCs w:val="17"/>
          <w:lang w:eastAsia="pt-BR"/>
        </w:rPr>
        <w:t>. Os itens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B3FC83A">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10.1.2. </w:t>
      </w:r>
      <w:r>
        <w:rPr>
          <w:rFonts w:ascii="Arial" w:hAnsi="Arial" w:eastAsia="Arial-BoldMT" w:cs="Arial"/>
          <w:bCs/>
          <w:color w:val="000000"/>
          <w:sz w:val="17"/>
          <w:szCs w:val="17"/>
          <w:lang w:eastAsia="pt-BR"/>
        </w:rPr>
        <w:t>O fornecimento do objeto será de forma parcelada.</w:t>
      </w:r>
    </w:p>
    <w:p w14:paraId="019C9CB1">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10.1.3. </w:t>
      </w:r>
      <w:r>
        <w:rPr>
          <w:rFonts w:ascii="Arial" w:hAnsi="Arial" w:eastAsia="Arial-BoldMT" w:cs="Arial"/>
          <w:bCs/>
          <w:color w:val="000000"/>
          <w:sz w:val="17"/>
          <w:szCs w:val="17"/>
          <w:lang w:eastAsia="pt-BR"/>
        </w:rPr>
        <w:t>Os itens poderão ser rejeitados, no todo ou em parte, inclusive antes do recebimento provisório, quando em desacordo com as especificações constantes no Termo de Referência e na proposta, devendo ser substituídos no prazo consignado neste documento, a contar da notificação da contratada, às suas custas, sem prejuízo da aplicação das penalidades.</w:t>
      </w:r>
    </w:p>
    <w:p w14:paraId="5CCF4EE1">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10.2. Liquidação</w:t>
      </w:r>
    </w:p>
    <w:p w14:paraId="13206713">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10.2.1. </w:t>
      </w:r>
      <w:r>
        <w:rPr>
          <w:rFonts w:ascii="Arial" w:hAnsi="Arial" w:eastAsia="Arial-BoldMT" w:cs="Arial"/>
          <w:bCs/>
          <w:color w:val="000000"/>
          <w:sz w:val="17"/>
          <w:szCs w:val="17"/>
          <w:lang w:eastAsia="pt-BR"/>
        </w:rPr>
        <w:t>Quando for constatada qualquer irregularidade na Nota Fiscal, será imediatamente solicitada à empresa adjudicatária carta de correção, quando couber, ou ainda a pertinente regularização, a qual deverá ser encaminhada no prazo máximo de 02 (dois) dias úteis.</w:t>
      </w:r>
    </w:p>
    <w:p w14:paraId="1BCA1E1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10.2.2.</w:t>
      </w:r>
      <w:r>
        <w:rPr>
          <w:rFonts w:ascii="Arial" w:hAnsi="Arial" w:eastAsia="Arial-BoldMT" w:cs="Arial"/>
          <w:bCs/>
          <w:color w:val="000000"/>
          <w:sz w:val="17"/>
          <w:szCs w:val="17"/>
          <w:lang w:eastAsia="pt-BR"/>
        </w:rPr>
        <w:t xml:space="preserve"> Caso a CONTRATADA não apresente a carta de correção no prazo estipulado, o prazo para pagamento será recontado a partir da data de sua apresentação.</w:t>
      </w:r>
    </w:p>
    <w:p w14:paraId="1AB02CB1">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10.3. Pagamento</w:t>
      </w:r>
    </w:p>
    <w:p w14:paraId="4658E33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10.3.1. </w:t>
      </w:r>
      <w:r>
        <w:rPr>
          <w:rFonts w:ascii="Arial" w:hAnsi="Arial" w:eastAsia="Arial-BoldMT" w:cs="Arial"/>
          <w:bCs/>
          <w:color w:val="000000"/>
          <w:sz w:val="17"/>
          <w:szCs w:val="17"/>
          <w:lang w:eastAsia="pt-BR"/>
        </w:rPr>
        <w:t>O pagamento do objeto deste termo será efetuado em moeda corrente, por meio de ordem bancária, sem juros e atualização monetária, até 30 (trinta) dias após a apresentação da Nota Fiscal.</w:t>
      </w:r>
    </w:p>
    <w:p w14:paraId="4936C15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p>
    <w:p w14:paraId="4EA64AC4">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11. FORMA E CRITÉRIOS DE SELEÇÃO DO FORNECEDOR</w:t>
      </w:r>
    </w:p>
    <w:p w14:paraId="2E4063F4">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11.1.</w:t>
      </w:r>
      <w:r>
        <w:rPr>
          <w:rFonts w:ascii="Arial" w:hAnsi="Arial" w:eastAsia="Arial-BoldMT" w:cs="Arial"/>
          <w:bCs/>
          <w:color w:val="000000"/>
          <w:sz w:val="17"/>
          <w:szCs w:val="17"/>
          <w:lang w:eastAsia="pt-BR"/>
        </w:rPr>
        <w:t xml:space="preserve"> O fornecedor será selecionado por meio da realização de procedimento de LICITAÇÃO, na modalidade PREGÃO, nos termos da Lei nº 14.133/2021, para REGISTRO DE PREÇOS, sob a forma ELETRÔNICA, com adoção do critério de julgamento pelo MENOR PREÇO POR ITEM, de forma parcelada, com base nos parâmetros da Lei nº 14.133/2021.</w:t>
      </w:r>
    </w:p>
    <w:p w14:paraId="3488ADD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11.2. Da Habilitação Jurídica, Fiscal, Social, Trabalhista e Econômico-financeira</w:t>
      </w:r>
    </w:p>
    <w:p w14:paraId="2A20F0C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11.2.1.</w:t>
      </w:r>
      <w:r>
        <w:rPr>
          <w:rFonts w:ascii="Arial" w:hAnsi="Arial" w:eastAsia="Arial-BoldMT" w:cs="Arial"/>
          <w:bCs/>
          <w:color w:val="000000"/>
          <w:sz w:val="17"/>
          <w:szCs w:val="17"/>
          <w:lang w:eastAsia="pt-BR"/>
        </w:rPr>
        <w:t xml:space="preserve"> Os documentos necessários para habilitação do fornecedor serão descritos em tópico específico do edital.</w:t>
      </w:r>
    </w:p>
    <w:p w14:paraId="792C0527">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11.3. Qualificação Técnica</w:t>
      </w:r>
    </w:p>
    <w:p w14:paraId="07A8A69D">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11.3.1.</w:t>
      </w:r>
      <w:r>
        <w:rPr>
          <w:rFonts w:ascii="Arial" w:hAnsi="Arial" w:eastAsia="Arial-BoldMT" w:cs="Arial"/>
          <w:bCs/>
          <w:color w:val="000000"/>
          <w:sz w:val="17"/>
          <w:szCs w:val="17"/>
          <w:lang w:eastAsia="pt-BR"/>
        </w:rPr>
        <w:t xml:space="preserve"> Comprovação de aptidão para o fornecimento de bens similares de complexidade tecnológica e operacional equivalente ou superior com o objeto, ou com o item pertinente, por meio da apresentação de certidões ou atestados, por pessoas jurídicas de direito público ou privado. Os atestados de capacidade técnica poderão ser apresentados em nome da matriz ou da filial do fornecedor.</w:t>
      </w:r>
    </w:p>
    <w:p w14:paraId="20AA0ED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11.3.2.</w:t>
      </w:r>
      <w:r>
        <w:rPr>
          <w:rFonts w:ascii="Arial" w:hAnsi="Arial" w:eastAsia="Arial-BoldMT" w:cs="Arial"/>
          <w:bCs/>
          <w:color w:val="000000"/>
          <w:sz w:val="17"/>
          <w:szCs w:val="17"/>
          <w:lang w:eastAsia="pt-BR"/>
        </w:rPr>
        <w:t xml:space="preserve"> Comprovação de que os produtos ofertados atendem às normas sanitárias vigentes, mediante apresentação de registro, notificação ou comprovante de isenção de registro junto à Agência Nacional de Vigilância Sanitária – ANVISA, conforme a classificação do produto, nos termos da legislação aplicável.</w:t>
      </w:r>
    </w:p>
    <w:p w14:paraId="34E0614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11.3.3.</w:t>
      </w:r>
      <w:r>
        <w:rPr>
          <w:rFonts w:ascii="Arial" w:hAnsi="Arial" w:eastAsia="Arial-BoldMT" w:cs="Arial"/>
          <w:bCs/>
          <w:color w:val="000000"/>
          <w:sz w:val="17"/>
          <w:szCs w:val="17"/>
          <w:lang w:eastAsia="pt-BR"/>
        </w:rPr>
        <w:t xml:space="preserve"> Para os itens classificados como medicamentos, deverá ser apresentado registro válido na ANVISA, em nome do fabricante ou do detentor do registro.</w:t>
      </w:r>
    </w:p>
    <w:p w14:paraId="7C7E4AC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11.3.4.</w:t>
      </w:r>
      <w:r>
        <w:rPr>
          <w:rFonts w:ascii="Arial" w:hAnsi="Arial" w:eastAsia="Arial-BoldMT" w:cs="Arial"/>
          <w:bCs/>
          <w:color w:val="000000"/>
          <w:sz w:val="17"/>
          <w:szCs w:val="17"/>
          <w:lang w:eastAsia="pt-BR"/>
        </w:rPr>
        <w:t xml:space="preserve"> Para os produtos para saúde, saneantes e materiais médico-hospitalares, deverá ser apresentada a regularização sanitária correspondente, compatível com a natureza do produto, admitindo-se registro, notificação ou dispensa, conforme o caso.</w:t>
      </w:r>
    </w:p>
    <w:p w14:paraId="2840A937">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p>
    <w:p w14:paraId="053C09DD">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12. ESTIMATIVAS DO VALOR DA CONTRATAÇÃO</w:t>
      </w:r>
    </w:p>
    <w:p w14:paraId="28F30CFE">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12.1. </w:t>
      </w:r>
      <w:r>
        <w:rPr>
          <w:rFonts w:ascii="Arial" w:hAnsi="Arial" w:eastAsia="Arial-BoldMT" w:cs="Arial"/>
          <w:bCs/>
          <w:color w:val="000000"/>
          <w:sz w:val="17"/>
          <w:szCs w:val="17"/>
          <w:lang w:eastAsia="pt-BR"/>
        </w:rPr>
        <w:t>A estimativa do valor da contratação foi elaborada em conformidade com o disposto no art. 23 da Lei nº 14.133/2021, com base em pesquisa de preços realizada por meio do Banco de Preços, ferramenta amplamente utilizada pela Administração Pública para obtenção de valores praticados no mercado.</w:t>
      </w:r>
    </w:p>
    <w:p w14:paraId="0310E56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 xml:space="preserve">12.2. </w:t>
      </w:r>
      <w:r>
        <w:rPr>
          <w:rFonts w:ascii="Arial" w:hAnsi="Arial" w:eastAsia="Arial-BoldMT" w:cs="Arial"/>
          <w:bCs/>
          <w:color w:val="000000"/>
          <w:sz w:val="17"/>
          <w:szCs w:val="17"/>
          <w:lang w:eastAsia="pt-BR"/>
        </w:rPr>
        <w:t>Considerando os levantamentos realizados e os quantitativos estimados para os itens a serem registrados, o valor estimado total da contratação é de R$ 228.930,20 (duzentos e vinte e oito mil, novecentos e trinta reais e vinte centavos).</w:t>
      </w:r>
    </w:p>
    <w:p w14:paraId="570EB50A">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 xml:space="preserve">12.3. </w:t>
      </w:r>
      <w:r>
        <w:rPr>
          <w:rFonts w:ascii="Arial" w:hAnsi="Arial" w:eastAsia="Arial-BoldMT" w:cs="Arial"/>
          <w:bCs/>
          <w:color w:val="000000"/>
          <w:sz w:val="17"/>
          <w:szCs w:val="17"/>
          <w:lang w:eastAsia="pt-BR"/>
        </w:rPr>
        <w:t>Ressalta-se que o valor estimado possui caráter referencial, não constituindo obrigação de contratação integral, tendo em vista que o procedimento será realizado sob o sistema de Registro de Preços, com contratações futuras e eventuais, conforme a necessidade da Administração.</w:t>
      </w:r>
    </w:p>
    <w:p w14:paraId="4BE68ADB">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p>
    <w:p w14:paraId="467BB3D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sz w:val="17"/>
          <w:szCs w:val="17"/>
          <w:lang w:eastAsia="pt-BR"/>
        </w:rPr>
      </w:pPr>
      <w:r>
        <w:rPr>
          <w:rFonts w:ascii="Arial" w:hAnsi="Arial" w:eastAsia="Arial-BoldMT" w:cs="Arial"/>
          <w:b/>
          <w:bCs/>
          <w:sz w:val="17"/>
          <w:szCs w:val="17"/>
          <w:lang w:eastAsia="pt-BR"/>
        </w:rPr>
        <w:t>13. DO QUANTITATIVO MÍNIMO</w:t>
      </w:r>
    </w:p>
    <w:p w14:paraId="1E055BD3">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sz w:val="17"/>
          <w:szCs w:val="17"/>
          <w:lang w:eastAsia="pt-BR"/>
        </w:rPr>
      </w:pPr>
      <w:r>
        <w:rPr>
          <w:rFonts w:ascii="Arial" w:hAnsi="Arial" w:eastAsia="Arial-BoldMT" w:cs="Arial"/>
          <w:b/>
          <w:bCs/>
          <w:sz w:val="17"/>
          <w:szCs w:val="17"/>
          <w:lang w:eastAsia="pt-BR"/>
        </w:rPr>
        <w:t>13.1.</w:t>
      </w:r>
      <w:r>
        <w:rPr>
          <w:rFonts w:ascii="Arial" w:hAnsi="Arial" w:eastAsia="Arial-BoldMT" w:cs="Arial"/>
          <w:bCs/>
          <w:sz w:val="17"/>
          <w:szCs w:val="17"/>
          <w:lang w:eastAsia="pt-BR"/>
        </w:rPr>
        <w:t xml:space="preserve"> Em cumprimento ao art. 28, §2º, do Decreto Municipal nº 5.805/2023, o quantitativo mínimo previsto, caso haja formalização de contrato oriundo da Ata de Registro de Preços, será de 01 (uma) unidade para cada item registrado.</w:t>
      </w:r>
    </w:p>
    <w:p w14:paraId="44F8CB34">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sz w:val="17"/>
          <w:szCs w:val="17"/>
          <w:lang w:eastAsia="pt-BR"/>
        </w:rPr>
      </w:pPr>
    </w:p>
    <w:p w14:paraId="298892A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14. DA VIGÊNCIA</w:t>
      </w:r>
    </w:p>
    <w:p w14:paraId="2C50B46E">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14.1.</w:t>
      </w:r>
      <w:r>
        <w:rPr>
          <w:rFonts w:ascii="Arial" w:hAnsi="Arial" w:eastAsia="Arial-BoldMT" w:cs="Arial"/>
          <w:bCs/>
          <w:color w:val="000000"/>
          <w:sz w:val="17"/>
          <w:szCs w:val="17"/>
          <w:lang w:eastAsia="pt-BR"/>
        </w:rPr>
        <w:t xml:space="preserve"> O prazo de vigência do contrato será de 12 (doze) meses, contados a partir da data de homologação, podendo ser prorrogado conforme as disposições legais vigentes.</w:t>
      </w:r>
    </w:p>
    <w:p w14:paraId="3BFC09E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p>
    <w:p w14:paraId="32835883">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15. ADEQUAÇÃO ORÇAMENTÁRIA</w:t>
      </w:r>
    </w:p>
    <w:p w14:paraId="2E9F840B">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
          <w:bCs/>
          <w:color w:val="000000"/>
          <w:sz w:val="17"/>
          <w:szCs w:val="17"/>
          <w:lang w:eastAsia="pt-BR"/>
        </w:rPr>
        <w:t>15.1.</w:t>
      </w:r>
      <w:r>
        <w:rPr>
          <w:rFonts w:ascii="Arial" w:hAnsi="Arial" w:eastAsia="Arial-BoldMT" w:cs="Arial"/>
          <w:bCs/>
          <w:color w:val="000000"/>
          <w:sz w:val="17"/>
          <w:szCs w:val="17"/>
          <w:lang w:eastAsia="pt-BR"/>
        </w:rPr>
        <w:t xml:space="preserve"> As despesas decorrentes da presente contratação correrão por conta da dotação orçamentária do orçamento em vigor.</w:t>
      </w:r>
    </w:p>
    <w:p w14:paraId="39F8A2F5">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A contratação será atendida pelo seguinte centro de custo:</w:t>
      </w:r>
    </w:p>
    <w:p w14:paraId="400781C2">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02009– Fundo Municipal de Saúde</w:t>
      </w:r>
    </w:p>
    <w:p w14:paraId="15565BD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2.083 – Manutenção e Coordenação das Atividades da Atenção Básica</w:t>
      </w:r>
    </w:p>
    <w:p w14:paraId="5CBEF4AA">
      <w:pPr>
        <w:pStyle w:val="220"/>
        <w:keepNext w:val="0"/>
        <w:keepLines w:val="0"/>
        <w:pageBreakBefore w:val="0"/>
        <w:widowControl/>
        <w:numPr>
          <w:ilvl w:val="0"/>
          <w:numId w:val="21"/>
        </w:numPr>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Gestão da Atenção Primária à Saúde</w:t>
      </w:r>
    </w:p>
    <w:p w14:paraId="78CBD37D">
      <w:pPr>
        <w:pStyle w:val="220"/>
        <w:keepNext w:val="0"/>
        <w:keepLines w:val="0"/>
        <w:pageBreakBefore w:val="0"/>
        <w:widowControl/>
        <w:numPr>
          <w:ilvl w:val="0"/>
          <w:numId w:val="21"/>
        </w:numPr>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Gestão da Saúde Bucal (Odontologia)</w:t>
      </w:r>
    </w:p>
    <w:p w14:paraId="7AA8653D">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2.084 –Manutenção e Coordenação das Atividades da Média e Alta Complexidade Ambulatorial</w:t>
      </w:r>
    </w:p>
    <w:p w14:paraId="63515BC7">
      <w:pPr>
        <w:pStyle w:val="220"/>
        <w:keepNext w:val="0"/>
        <w:keepLines w:val="0"/>
        <w:pageBreakBefore w:val="0"/>
        <w:widowControl/>
        <w:numPr>
          <w:ilvl w:val="0"/>
          <w:numId w:val="22"/>
        </w:numPr>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Gestão do Serviço de Atendimento Especializado</w:t>
      </w:r>
    </w:p>
    <w:p w14:paraId="4497FA65">
      <w:pPr>
        <w:pStyle w:val="220"/>
        <w:keepNext w:val="0"/>
        <w:keepLines w:val="0"/>
        <w:pageBreakBefore w:val="0"/>
        <w:widowControl/>
        <w:numPr>
          <w:ilvl w:val="0"/>
          <w:numId w:val="22"/>
        </w:numPr>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Gestão do Serviço de Radiologia</w:t>
      </w:r>
    </w:p>
    <w:p w14:paraId="5F27BC3E">
      <w:pPr>
        <w:pStyle w:val="220"/>
        <w:keepNext w:val="0"/>
        <w:keepLines w:val="0"/>
        <w:pageBreakBefore w:val="0"/>
        <w:widowControl/>
        <w:numPr>
          <w:ilvl w:val="0"/>
          <w:numId w:val="22"/>
        </w:numPr>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Gestão do Centro de Especialidades Odontológicas</w:t>
      </w:r>
    </w:p>
    <w:p w14:paraId="5E626EF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bCs/>
          <w:color w:val="000000"/>
          <w:sz w:val="17"/>
          <w:szCs w:val="17"/>
          <w:lang w:eastAsia="pt-BR"/>
        </w:rPr>
        <w:t>2.085 – Manutenção e Coordenação das Atividades da Raps – Rede de Atenção Psicossocial</w:t>
      </w:r>
    </w:p>
    <w:p w14:paraId="08C52E74">
      <w:pPr>
        <w:pStyle w:val="220"/>
        <w:keepNext w:val="0"/>
        <w:keepLines w:val="0"/>
        <w:pageBreakBefore w:val="0"/>
        <w:widowControl/>
        <w:numPr>
          <w:ilvl w:val="0"/>
          <w:numId w:val="23"/>
        </w:numPr>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Gestão do CAPS I</w:t>
      </w:r>
    </w:p>
    <w:p w14:paraId="5CFC5EB9">
      <w:pPr>
        <w:pStyle w:val="220"/>
        <w:keepNext w:val="0"/>
        <w:keepLines w:val="0"/>
        <w:pageBreakBefore w:val="0"/>
        <w:widowControl/>
        <w:numPr>
          <w:ilvl w:val="0"/>
          <w:numId w:val="23"/>
        </w:numPr>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ascii="Arial" w:hAnsi="Arial" w:eastAsia="Arial-BoldMT" w:cs="Arial"/>
          <w:bCs/>
          <w:color w:val="000000"/>
          <w:sz w:val="17"/>
          <w:szCs w:val="17"/>
          <w:lang w:eastAsia="pt-BR"/>
        </w:rPr>
        <w:t>Gestão do CAPS AD</w:t>
      </w:r>
    </w:p>
    <w:tbl>
      <w:tblPr>
        <w:tblStyle w:val="4"/>
        <w:tblW w:w="9356" w:type="dxa"/>
        <w:jc w:val="right"/>
        <w:tblLayout w:type="autofit"/>
        <w:tblCellMar>
          <w:top w:w="0" w:type="dxa"/>
          <w:left w:w="108" w:type="dxa"/>
          <w:bottom w:w="0" w:type="dxa"/>
          <w:right w:w="108" w:type="dxa"/>
        </w:tblCellMar>
      </w:tblPr>
      <w:tblGrid>
        <w:gridCol w:w="4488"/>
        <w:gridCol w:w="4868"/>
      </w:tblGrid>
      <w:tr w14:paraId="3274A4FC">
        <w:tblPrEx>
          <w:tblCellMar>
            <w:top w:w="0" w:type="dxa"/>
            <w:left w:w="108" w:type="dxa"/>
            <w:bottom w:w="0" w:type="dxa"/>
            <w:right w:w="108" w:type="dxa"/>
          </w:tblCellMar>
        </w:tblPrEx>
        <w:trPr>
          <w:trHeight w:val="210" w:hRule="atLeast"/>
          <w:jc w:val="right"/>
        </w:trPr>
        <w:tc>
          <w:tcPr>
            <w:tcW w:w="4488" w:type="dxa"/>
          </w:tcPr>
          <w:p w14:paraId="01CF4577">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sz w:val="17"/>
                <w:szCs w:val="17"/>
              </w:rPr>
              <w:t>___________________________</w:t>
            </w:r>
          </w:p>
        </w:tc>
        <w:tc>
          <w:tcPr>
            <w:tcW w:w="4868" w:type="dxa"/>
          </w:tcPr>
          <w:p w14:paraId="08A7DA74">
            <w:pPr>
              <w:keepNext w:val="0"/>
              <w:keepLines w:val="0"/>
              <w:pageBreakBefore w:val="0"/>
              <w:widowControl/>
              <w:tabs>
                <w:tab w:val="left" w:pos="4405"/>
              </w:tabs>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sz w:val="17"/>
                <w:szCs w:val="17"/>
              </w:rPr>
              <w:t>__</w:t>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softHyphen/>
            </w:r>
            <w:r>
              <w:rPr>
                <w:rFonts w:ascii="Arial" w:hAnsi="Arial" w:cs="Arial"/>
                <w:sz w:val="17"/>
                <w:szCs w:val="17"/>
              </w:rPr>
              <w:t>___________________________</w:t>
            </w:r>
          </w:p>
        </w:tc>
      </w:tr>
      <w:tr w14:paraId="4ED75523">
        <w:tblPrEx>
          <w:tblCellMar>
            <w:top w:w="0" w:type="dxa"/>
            <w:left w:w="108" w:type="dxa"/>
            <w:bottom w:w="0" w:type="dxa"/>
            <w:right w:w="108" w:type="dxa"/>
          </w:tblCellMar>
        </w:tblPrEx>
        <w:trPr>
          <w:jc w:val="right"/>
        </w:trPr>
        <w:tc>
          <w:tcPr>
            <w:tcW w:w="4488" w:type="dxa"/>
          </w:tcPr>
          <w:p w14:paraId="028A8A6C">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sz w:val="17"/>
                <w:szCs w:val="17"/>
              </w:rPr>
              <w:t>Vinícius Franzoni Barbosa Ferreira</w:t>
            </w:r>
          </w:p>
        </w:tc>
        <w:tc>
          <w:tcPr>
            <w:tcW w:w="4868" w:type="dxa"/>
          </w:tcPr>
          <w:p w14:paraId="3773FE44">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sz w:val="17"/>
                <w:szCs w:val="17"/>
              </w:rPr>
              <w:t xml:space="preserve">   Ludmila Fontoura Nogueira de Castro</w:t>
            </w:r>
          </w:p>
        </w:tc>
      </w:tr>
      <w:tr w14:paraId="5B0EB76C">
        <w:tblPrEx>
          <w:tblCellMar>
            <w:top w:w="0" w:type="dxa"/>
            <w:left w:w="108" w:type="dxa"/>
            <w:bottom w:w="0" w:type="dxa"/>
            <w:right w:w="108" w:type="dxa"/>
          </w:tblCellMar>
        </w:tblPrEx>
        <w:trPr>
          <w:jc w:val="right"/>
        </w:trPr>
        <w:tc>
          <w:tcPr>
            <w:tcW w:w="4488" w:type="dxa"/>
          </w:tcPr>
          <w:p w14:paraId="00D6F347">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b/>
                <w:sz w:val="17"/>
                <w:szCs w:val="17"/>
              </w:rPr>
              <w:t>Secretário Municipal de Saúde</w:t>
            </w:r>
          </w:p>
        </w:tc>
        <w:tc>
          <w:tcPr>
            <w:tcW w:w="4868" w:type="dxa"/>
          </w:tcPr>
          <w:p w14:paraId="10758AFB">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eastAsiaTheme="majorEastAsia"/>
                <w:b/>
                <w:bCs/>
                <w:sz w:val="17"/>
                <w:szCs w:val="17"/>
                <w:lang w:eastAsia="pt-BR"/>
              </w:rPr>
              <w:t xml:space="preserve">     Elaboração do Termo de Referência</w:t>
            </w:r>
          </w:p>
        </w:tc>
      </w:tr>
      <w:tr w14:paraId="0D8EA8AB">
        <w:tblPrEx>
          <w:tblCellMar>
            <w:top w:w="0" w:type="dxa"/>
            <w:left w:w="108" w:type="dxa"/>
            <w:bottom w:w="0" w:type="dxa"/>
            <w:right w:w="108" w:type="dxa"/>
          </w:tblCellMar>
        </w:tblPrEx>
        <w:trPr>
          <w:jc w:val="right"/>
        </w:trPr>
        <w:tc>
          <w:tcPr>
            <w:tcW w:w="4488" w:type="dxa"/>
          </w:tcPr>
          <w:p w14:paraId="61A8DE49">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sz w:val="17"/>
                <w:szCs w:val="17"/>
              </w:rPr>
              <w:t>_______________________________</w:t>
            </w:r>
          </w:p>
        </w:tc>
        <w:tc>
          <w:tcPr>
            <w:tcW w:w="4868" w:type="dxa"/>
          </w:tcPr>
          <w:p w14:paraId="16384D5D">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sz w:val="17"/>
                <w:szCs w:val="17"/>
              </w:rPr>
              <w:t>_________________________________</w:t>
            </w:r>
          </w:p>
        </w:tc>
      </w:tr>
      <w:tr w14:paraId="7B5499BE">
        <w:tblPrEx>
          <w:tblCellMar>
            <w:top w:w="0" w:type="dxa"/>
            <w:left w:w="108" w:type="dxa"/>
            <w:bottom w:w="0" w:type="dxa"/>
            <w:right w:w="108" w:type="dxa"/>
          </w:tblCellMar>
        </w:tblPrEx>
        <w:trPr>
          <w:jc w:val="right"/>
        </w:trPr>
        <w:tc>
          <w:tcPr>
            <w:tcW w:w="4488" w:type="dxa"/>
          </w:tcPr>
          <w:p w14:paraId="21619274">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sz w:val="17"/>
                <w:szCs w:val="17"/>
              </w:rPr>
              <w:t>Clélio Nunes Simões</w:t>
            </w:r>
          </w:p>
          <w:p w14:paraId="1894968C">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b/>
                <w:sz w:val="17"/>
                <w:szCs w:val="17"/>
              </w:rPr>
            </w:pPr>
            <w:r>
              <w:rPr>
                <w:rFonts w:ascii="Arial" w:hAnsi="Arial" w:cs="Arial"/>
                <w:b/>
                <w:sz w:val="17"/>
                <w:szCs w:val="17"/>
              </w:rPr>
              <w:t>Cotação de Preços</w:t>
            </w:r>
          </w:p>
        </w:tc>
        <w:tc>
          <w:tcPr>
            <w:tcW w:w="4868" w:type="dxa"/>
          </w:tcPr>
          <w:p w14:paraId="2F1B27D8">
            <w:pPr>
              <w:keepNext w:val="0"/>
              <w:keepLines w:val="0"/>
              <w:pageBreakBefore w:val="0"/>
              <w:widowControl/>
              <w:tabs>
                <w:tab w:val="left" w:pos="1110"/>
                <w:tab w:val="center" w:pos="2345"/>
              </w:tabs>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sz w:val="17"/>
                <w:szCs w:val="17"/>
              </w:rPr>
              <w:t>Válber Araújo Xavier</w:t>
            </w:r>
          </w:p>
          <w:p w14:paraId="383D86AE">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r>
              <w:rPr>
                <w:rFonts w:ascii="Arial" w:hAnsi="Arial" w:cs="Arial" w:eastAsiaTheme="majorEastAsia"/>
                <w:b/>
                <w:bCs/>
                <w:sz w:val="17"/>
                <w:szCs w:val="17"/>
                <w:lang w:eastAsia="pt-BR"/>
              </w:rPr>
              <w:t>Fiscal do Contrato/ Sec. Saúde</w:t>
            </w:r>
          </w:p>
        </w:tc>
      </w:tr>
      <w:tr w14:paraId="087CA71C">
        <w:tblPrEx>
          <w:tblCellMar>
            <w:top w:w="0" w:type="dxa"/>
            <w:left w:w="108" w:type="dxa"/>
            <w:bottom w:w="0" w:type="dxa"/>
            <w:right w:w="108" w:type="dxa"/>
          </w:tblCellMar>
        </w:tblPrEx>
        <w:trPr>
          <w:jc w:val="right"/>
        </w:trPr>
        <w:tc>
          <w:tcPr>
            <w:tcW w:w="4488" w:type="dxa"/>
          </w:tcPr>
          <w:p w14:paraId="6BDA7256">
            <w:pPr>
              <w:keepNext w:val="0"/>
              <w:keepLines w:val="0"/>
              <w:pageBreakBefore w:val="0"/>
              <w:widowControl/>
              <w:tabs>
                <w:tab w:val="left" w:pos="1110"/>
                <w:tab w:val="center" w:pos="2345"/>
              </w:tabs>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b/>
                <w:sz w:val="17"/>
                <w:szCs w:val="17"/>
              </w:rPr>
            </w:pPr>
          </w:p>
        </w:tc>
        <w:tc>
          <w:tcPr>
            <w:tcW w:w="4868" w:type="dxa"/>
          </w:tcPr>
          <w:p w14:paraId="5497EAE6">
            <w:pPr>
              <w:keepNext w:val="0"/>
              <w:keepLines w:val="0"/>
              <w:pageBreakBefore w:val="0"/>
              <w:widowControl/>
              <w:tabs>
                <w:tab w:val="left" w:pos="1110"/>
                <w:tab w:val="center" w:pos="2345"/>
              </w:tabs>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b/>
                <w:sz w:val="17"/>
                <w:szCs w:val="17"/>
              </w:rPr>
            </w:pPr>
          </w:p>
        </w:tc>
      </w:tr>
      <w:tr w14:paraId="16C3B7CE">
        <w:tblPrEx>
          <w:tblCellMar>
            <w:top w:w="0" w:type="dxa"/>
            <w:left w:w="108" w:type="dxa"/>
            <w:bottom w:w="0" w:type="dxa"/>
            <w:right w:w="108" w:type="dxa"/>
          </w:tblCellMar>
        </w:tblPrEx>
        <w:trPr>
          <w:jc w:val="right"/>
        </w:trPr>
        <w:tc>
          <w:tcPr>
            <w:tcW w:w="4488" w:type="dxa"/>
          </w:tcPr>
          <w:p w14:paraId="5CBD14A6">
            <w:pPr>
              <w:keepNext w:val="0"/>
              <w:keepLines w:val="0"/>
              <w:pageBreakBefore w:val="0"/>
              <w:widowControl/>
              <w:tabs>
                <w:tab w:val="left" w:pos="4405"/>
              </w:tabs>
              <w:kinsoku/>
              <w:wordWrap/>
              <w:overflowPunct/>
              <w:topLinePunct w:val="0"/>
              <w:autoSpaceDE/>
              <w:autoSpaceDN/>
              <w:bidi w:val="0"/>
              <w:adjustRightInd/>
              <w:snapToGrid w:val="0"/>
              <w:spacing w:line="240" w:lineRule="auto"/>
              <w:ind w:left="0" w:leftChars="0" w:firstLine="0" w:firstLineChars="0"/>
              <w:textAlignment w:val="auto"/>
              <w:rPr>
                <w:rFonts w:ascii="Arial" w:hAnsi="Arial" w:cs="Arial"/>
                <w:sz w:val="17"/>
                <w:szCs w:val="17"/>
              </w:rPr>
            </w:pPr>
          </w:p>
        </w:tc>
        <w:tc>
          <w:tcPr>
            <w:tcW w:w="4868" w:type="dxa"/>
          </w:tcPr>
          <w:p w14:paraId="49A1F006">
            <w:pPr>
              <w:keepNext w:val="0"/>
              <w:keepLines w:val="0"/>
              <w:pageBreakBefore w:val="0"/>
              <w:widowControl/>
              <w:tabs>
                <w:tab w:val="left" w:pos="4405"/>
              </w:tabs>
              <w:kinsoku/>
              <w:wordWrap/>
              <w:overflowPunct/>
              <w:topLinePunct w:val="0"/>
              <w:autoSpaceDE/>
              <w:autoSpaceDN/>
              <w:bidi w:val="0"/>
              <w:adjustRightInd/>
              <w:snapToGrid w:val="0"/>
              <w:spacing w:line="240" w:lineRule="auto"/>
              <w:ind w:left="0" w:leftChars="0" w:firstLine="0" w:firstLineChars="0"/>
              <w:textAlignment w:val="auto"/>
              <w:rPr>
                <w:rFonts w:ascii="Arial" w:hAnsi="Arial" w:cs="Arial"/>
                <w:sz w:val="17"/>
                <w:szCs w:val="17"/>
              </w:rPr>
            </w:pPr>
          </w:p>
        </w:tc>
      </w:tr>
      <w:tr w14:paraId="5C188E7A">
        <w:tblPrEx>
          <w:tblCellMar>
            <w:top w:w="0" w:type="dxa"/>
            <w:left w:w="108" w:type="dxa"/>
            <w:bottom w:w="0" w:type="dxa"/>
            <w:right w:w="108" w:type="dxa"/>
          </w:tblCellMar>
        </w:tblPrEx>
        <w:trPr>
          <w:jc w:val="right"/>
        </w:trPr>
        <w:tc>
          <w:tcPr>
            <w:tcW w:w="4488" w:type="dxa"/>
          </w:tcPr>
          <w:p w14:paraId="41679150">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p>
        </w:tc>
        <w:tc>
          <w:tcPr>
            <w:tcW w:w="4868" w:type="dxa"/>
          </w:tcPr>
          <w:p w14:paraId="532A62C1">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rFonts w:ascii="Arial" w:hAnsi="Arial" w:cs="Arial"/>
                <w:sz w:val="17"/>
                <w:szCs w:val="17"/>
              </w:rPr>
            </w:pPr>
          </w:p>
        </w:tc>
      </w:tr>
    </w:tbl>
    <w:p w14:paraId="3C8D9489">
      <w:pPr>
        <w:keepNext w:val="0"/>
        <w:keepLines w:val="0"/>
        <w:pageBreakBefore w:val="0"/>
        <w:widowControl/>
        <w:kinsoku/>
        <w:wordWrap/>
        <w:overflowPunct/>
        <w:topLinePunct w:val="0"/>
        <w:autoSpaceDE/>
        <w:autoSpaceDN/>
        <w:bidi w:val="0"/>
        <w:adjustRightInd/>
        <w:snapToGrid w:val="0"/>
        <w:spacing w:line="240" w:lineRule="auto"/>
        <w:ind w:left="0" w:leftChars="0" w:right="0" w:firstLine="0" w:firstLineChars="0"/>
        <w:textAlignment w:val="auto"/>
        <w:rPr>
          <w:rFonts w:ascii="Arial" w:hAnsi="Arial" w:cs="Arial"/>
          <w:b/>
          <w:sz w:val="17"/>
          <w:szCs w:val="17"/>
        </w:rPr>
      </w:pPr>
      <w:r>
        <w:rPr>
          <w:rFonts w:ascii="Arial" w:hAnsi="Arial" w:cs="Arial"/>
          <w:b/>
          <w:sz w:val="17"/>
          <w:szCs w:val="17"/>
        </w:rPr>
        <w:br w:type="page"/>
      </w:r>
    </w:p>
    <w:p w14:paraId="43A991B5">
      <w:pPr>
        <w:pStyle w:val="220"/>
        <w:autoSpaceDE w:val="0"/>
        <w:autoSpaceDN w:val="0"/>
        <w:adjustRightInd w:val="0"/>
        <w:spacing w:line="360" w:lineRule="auto"/>
        <w:ind w:left="0"/>
        <w:contextualSpacing w:val="0"/>
        <w:jc w:val="center"/>
        <w:rPr>
          <w:rFonts w:ascii="Arial" w:hAnsi="Arial" w:cs="Arial"/>
          <w:b/>
          <w:bCs/>
          <w:sz w:val="32"/>
          <w:szCs w:val="32"/>
        </w:rPr>
      </w:pPr>
      <w:r>
        <w:rPr>
          <w:rFonts w:ascii="Arial" w:hAnsi="Arial" w:cs="Arial"/>
          <w:b/>
          <w:sz w:val="32"/>
          <w:szCs w:val="32"/>
        </w:rPr>
        <w:t>ANEXO II</w:t>
      </w:r>
    </w:p>
    <w:p w14:paraId="493E09E8">
      <w:pPr>
        <w:pStyle w:val="187"/>
        <w:spacing w:before="0" w:after="0"/>
        <w:ind w:left="0" w:leftChars="0" w:firstLine="0" w:firstLineChars="0"/>
        <w:jc w:val="center"/>
      </w:pPr>
      <w:r>
        <w:t>MODELO DE PROPOSTA COMERCIAL</w:t>
      </w:r>
    </w:p>
    <w:p w14:paraId="78BB6BFC">
      <w:pPr>
        <w:ind w:left="0" w:leftChars="0" w:firstLine="0" w:firstLineChars="0"/>
        <w:jc w:val="center"/>
        <w:rPr>
          <w:color w:val="FF0000"/>
        </w:rPr>
      </w:pPr>
    </w:p>
    <w:p w14:paraId="11334253">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010/2026</w:t>
      </w:r>
    </w:p>
    <w:p w14:paraId="35FB6793">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hint="default" w:ascii="Arial" w:hAnsi="Arial" w:cs="Arial"/>
          <w:b/>
          <w:bCs/>
          <w:color w:val="auto"/>
          <w:sz w:val="20"/>
          <w:szCs w:val="20"/>
          <w:lang w:val="pt-BR"/>
        </w:rPr>
        <w:t>004/2026</w:t>
      </w:r>
    </w:p>
    <w:p w14:paraId="0F6E1EEE">
      <w:pPr>
        <w:jc w:val="center"/>
        <w:rPr>
          <w:rFonts w:hint="default" w:ascii="Arial" w:hAnsi="Arial" w:cs="Arial"/>
          <w:b/>
          <w:bCs/>
          <w:color w:val="auto"/>
          <w:sz w:val="20"/>
          <w:szCs w:val="20"/>
          <w:lang w:val="pt-BR"/>
        </w:rPr>
      </w:pPr>
      <w:r>
        <w:rPr>
          <w:rFonts w:ascii="Arial" w:hAnsi="Arial" w:cs="Arial"/>
          <w:b/>
          <w:bCs/>
          <w:color w:val="auto"/>
          <w:sz w:val="20"/>
          <w:szCs w:val="20"/>
        </w:rPr>
        <w:t xml:space="preserve">REGISTRO DE PREÇOS N° </w:t>
      </w:r>
      <w:r>
        <w:rPr>
          <w:rFonts w:ascii="Arial" w:hAnsi="Arial" w:cs="Arial"/>
          <w:b/>
          <w:bCs/>
          <w:color w:val="auto"/>
          <w:sz w:val="20"/>
          <w:szCs w:val="20"/>
          <w:lang w:val="pt-BR"/>
        </w:rPr>
        <w:t>004/2026</w:t>
      </w:r>
    </w:p>
    <w:p w14:paraId="2BA4D95F">
      <w:pPr>
        <w:ind w:firstLine="567"/>
        <w:jc w:val="center"/>
        <w:rPr>
          <w:rFonts w:ascii="Arial" w:hAnsi="Arial" w:cs="Arial"/>
          <w:b/>
          <w:bCs/>
          <w:color w:val="000000"/>
          <w:sz w:val="20"/>
          <w:szCs w:val="20"/>
        </w:rPr>
      </w:pPr>
    </w:p>
    <w:p w14:paraId="09FE7D20">
      <w:pPr>
        <w:spacing w:line="276" w:lineRule="auto"/>
        <w:ind w:left="-142"/>
        <w:rPr>
          <w:rFonts w:hint="default" w:ascii="Arial" w:hAnsi="Arial" w:cs="Arial"/>
          <w:sz w:val="18"/>
          <w:szCs w:val="18"/>
          <w:lang w:val="pt-BR"/>
        </w:rPr>
      </w:pPr>
      <w:r>
        <w:rPr>
          <w:rFonts w:ascii="Arial" w:hAnsi="Arial" w:cs="Arial"/>
          <w:sz w:val="18"/>
          <w:szCs w:val="18"/>
        </w:rPr>
        <w:t xml:space="preserve">Tipo de Licitação: MENOR PREÇO </w:t>
      </w:r>
      <w:r>
        <w:rPr>
          <w:rFonts w:ascii="Arial" w:hAnsi="Arial" w:cs="Arial"/>
          <w:sz w:val="18"/>
          <w:szCs w:val="18"/>
          <w:lang w:val="pt-BR"/>
        </w:rPr>
        <w:t>por item</w:t>
      </w:r>
    </w:p>
    <w:p w14:paraId="0BB2B188">
      <w:pPr>
        <w:spacing w:line="276" w:lineRule="auto"/>
        <w:ind w:left="-142"/>
        <w:rPr>
          <w:rFonts w:ascii="Arial" w:hAnsi="Arial" w:cs="Arial"/>
          <w:sz w:val="18"/>
          <w:szCs w:val="18"/>
        </w:rPr>
      </w:pPr>
      <w:r>
        <w:rPr>
          <w:rFonts w:ascii="Arial" w:hAnsi="Arial" w:cs="Arial"/>
          <w:b w:val="0"/>
          <w:bCs w:val="0"/>
          <w:sz w:val="18"/>
          <w:szCs w:val="18"/>
        </w:rPr>
        <w:t xml:space="preserve">Data: </w:t>
      </w:r>
      <w:r>
        <w:rPr>
          <w:rFonts w:hint="default" w:ascii="Arial" w:hAnsi="Arial" w:cs="Arial"/>
          <w:b w:val="0"/>
          <w:bCs w:val="0"/>
          <w:sz w:val="18"/>
          <w:szCs w:val="18"/>
          <w:lang w:val="pt-BR"/>
        </w:rPr>
        <w:t xml:space="preserve">03 de março </w:t>
      </w:r>
      <w:r>
        <w:rPr>
          <w:rFonts w:ascii="Arial" w:hAnsi="Arial" w:cs="Arial"/>
          <w:b w:val="0"/>
          <w:bCs w:val="0"/>
          <w:sz w:val="18"/>
          <w:szCs w:val="18"/>
        </w:rPr>
        <w:t>de 202</w:t>
      </w:r>
      <w:r>
        <w:rPr>
          <w:rFonts w:hint="default" w:ascii="Arial" w:hAnsi="Arial" w:cs="Arial"/>
          <w:b w:val="0"/>
          <w:bCs w:val="0"/>
          <w:sz w:val="18"/>
          <w:szCs w:val="18"/>
          <w:lang w:val="pt-BR"/>
        </w:rPr>
        <w:t>6</w:t>
      </w:r>
      <w:r>
        <w:rPr>
          <w:rFonts w:ascii="Arial" w:hAnsi="Arial" w:cs="Arial"/>
          <w:b/>
          <w:bCs/>
          <w:sz w:val="18"/>
          <w:szCs w:val="18"/>
        </w:rPr>
        <w:tab/>
      </w:r>
      <w:r>
        <w:rPr>
          <w:rFonts w:ascii="Arial" w:hAnsi="Arial" w:cs="Arial"/>
          <w:sz w:val="18"/>
          <w:szCs w:val="18"/>
        </w:rPr>
        <w:tab/>
      </w:r>
      <w:r>
        <w:rPr>
          <w:rFonts w:ascii="Arial" w:hAnsi="Arial" w:cs="Arial"/>
          <w:sz w:val="18"/>
          <w:szCs w:val="18"/>
        </w:rPr>
        <w:t>Horário: 9 (nove) horas</w:t>
      </w:r>
    </w:p>
    <w:p w14:paraId="77EE1C83">
      <w:pPr>
        <w:spacing w:line="276" w:lineRule="auto"/>
        <w:ind w:left="-142"/>
        <w:rPr>
          <w:rFonts w:ascii="Arial" w:hAnsi="Arial" w:cs="Arial"/>
          <w:sz w:val="18"/>
          <w:szCs w:val="18"/>
        </w:rPr>
      </w:pPr>
      <w:r>
        <w:rPr>
          <w:rFonts w:ascii="Arial" w:hAnsi="Arial" w:cs="Arial"/>
          <w:sz w:val="18"/>
          <w:szCs w:val="18"/>
        </w:rPr>
        <w:t>Local: www.comprasnet.com.br</w:t>
      </w:r>
    </w:p>
    <w:p w14:paraId="6299AEA3">
      <w:pPr>
        <w:spacing w:line="276" w:lineRule="auto"/>
        <w:ind w:left="-142"/>
        <w:rPr>
          <w:rFonts w:ascii="Arial" w:hAnsi="Arial" w:cs="Arial"/>
          <w:sz w:val="18"/>
          <w:szCs w:val="18"/>
        </w:rPr>
      </w:pPr>
      <w:r>
        <w:rPr>
          <w:rFonts w:ascii="Arial" w:hAnsi="Arial" w:cs="Arial"/>
          <w:sz w:val="18"/>
          <w:szCs w:val="18"/>
        </w:rPr>
        <w:t>RAZÃO SOCIAL DA LICITANTE:</w:t>
      </w:r>
    </w:p>
    <w:p w14:paraId="31522D92">
      <w:pPr>
        <w:spacing w:line="276" w:lineRule="auto"/>
        <w:ind w:left="-142"/>
        <w:rPr>
          <w:rFonts w:ascii="Arial" w:hAnsi="Arial" w:cs="Arial"/>
          <w:sz w:val="18"/>
          <w:szCs w:val="18"/>
        </w:rPr>
      </w:pPr>
      <w:r>
        <w:rPr>
          <w:rFonts w:ascii="Arial" w:hAnsi="Arial" w:cs="Arial"/>
          <w:sz w:val="18"/>
          <w:szCs w:val="18"/>
        </w:rPr>
        <w:t>CNPJ:</w:t>
      </w:r>
    </w:p>
    <w:p w14:paraId="62F6AC5C">
      <w:pPr>
        <w:spacing w:line="276" w:lineRule="auto"/>
        <w:ind w:left="-142"/>
        <w:rPr>
          <w:rFonts w:ascii="Arial" w:hAnsi="Arial" w:cs="Arial"/>
          <w:sz w:val="18"/>
          <w:szCs w:val="18"/>
        </w:rPr>
      </w:pPr>
      <w:r>
        <w:rPr>
          <w:rFonts w:ascii="Arial" w:hAnsi="Arial" w:cs="Arial"/>
          <w:sz w:val="18"/>
          <w:szCs w:val="18"/>
        </w:rPr>
        <w:t>ENDEREÇO:</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TELEFONE:</w:t>
      </w:r>
    </w:p>
    <w:p w14:paraId="2D308986">
      <w:pPr>
        <w:spacing w:line="276" w:lineRule="auto"/>
        <w:ind w:left="-142"/>
        <w:rPr>
          <w:rFonts w:ascii="Arial" w:hAnsi="Arial" w:cs="Arial"/>
          <w:sz w:val="18"/>
          <w:szCs w:val="18"/>
        </w:rPr>
      </w:pPr>
      <w:r>
        <w:rPr>
          <w:rFonts w:ascii="Arial" w:hAnsi="Arial" w:cs="Arial"/>
          <w:sz w:val="18"/>
          <w:szCs w:val="18"/>
        </w:rPr>
        <w:t>EMAIL:</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DADOS BANCÁRIOS:</w:t>
      </w:r>
    </w:p>
    <w:tbl>
      <w:tblPr>
        <w:tblStyle w:val="4"/>
        <w:tblpPr w:leftFromText="180" w:rightFromText="180" w:vertAnchor="text" w:horzAnchor="page" w:tblpXSpec="center" w:tblpY="249"/>
        <w:tblOverlap w:val="never"/>
        <w:tblW w:w="10737" w:type="dxa"/>
        <w:jc w:val="center"/>
        <w:tblLayout w:type="fixed"/>
        <w:tblCellMar>
          <w:top w:w="0" w:type="dxa"/>
          <w:left w:w="70" w:type="dxa"/>
          <w:bottom w:w="0" w:type="dxa"/>
          <w:right w:w="70" w:type="dxa"/>
        </w:tblCellMar>
      </w:tblPr>
      <w:tblGrid>
        <w:gridCol w:w="541"/>
        <w:gridCol w:w="4646"/>
        <w:gridCol w:w="734"/>
        <w:gridCol w:w="961"/>
        <w:gridCol w:w="1350"/>
        <w:gridCol w:w="1350"/>
        <w:gridCol w:w="1155"/>
      </w:tblGrid>
      <w:tr w14:paraId="0EDA150F">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601DA96E">
            <w:pPr>
              <w:spacing w:after="0" w:line="240" w:lineRule="auto"/>
              <w:jc w:val="center"/>
              <w:rPr>
                <w:rFonts w:ascii="Arial" w:hAnsi="Arial" w:cs="Arial"/>
                <w:b/>
                <w:bCs/>
                <w:kern w:val="2"/>
                <w:sz w:val="16"/>
                <w:szCs w:val="16"/>
              </w:rPr>
            </w:pPr>
            <w:r>
              <w:rPr>
                <w:rFonts w:ascii="Arial" w:hAnsi="Arial" w:cs="Arial"/>
                <w:b/>
                <w:bCs/>
                <w:kern w:val="2"/>
                <w:sz w:val="16"/>
                <w:szCs w:val="16"/>
              </w:rPr>
              <w:t>Item</w:t>
            </w:r>
          </w:p>
        </w:tc>
        <w:tc>
          <w:tcPr>
            <w:tcW w:w="4646" w:type="dxa"/>
            <w:tcBorders>
              <w:top w:val="single" w:color="auto" w:sz="4" w:space="0"/>
              <w:left w:val="nil"/>
              <w:bottom w:val="single" w:color="auto" w:sz="4" w:space="0"/>
              <w:right w:val="single" w:color="auto" w:sz="4" w:space="0"/>
            </w:tcBorders>
            <w:noWrap/>
            <w:vAlign w:val="center"/>
          </w:tcPr>
          <w:p w14:paraId="370E1782">
            <w:pPr>
              <w:spacing w:after="0" w:line="240" w:lineRule="auto"/>
              <w:jc w:val="center"/>
              <w:rPr>
                <w:rFonts w:ascii="Arial" w:hAnsi="Arial" w:cs="Arial"/>
                <w:b/>
                <w:bCs/>
                <w:kern w:val="2"/>
                <w:sz w:val="16"/>
                <w:szCs w:val="16"/>
              </w:rPr>
            </w:pPr>
            <w:r>
              <w:rPr>
                <w:rFonts w:ascii="Arial" w:hAnsi="Arial" w:cs="Arial"/>
                <w:b/>
                <w:bCs/>
                <w:kern w:val="2"/>
                <w:sz w:val="16"/>
                <w:szCs w:val="16"/>
              </w:rPr>
              <w:t>Descrição</w:t>
            </w:r>
          </w:p>
        </w:tc>
        <w:tc>
          <w:tcPr>
            <w:tcW w:w="734" w:type="dxa"/>
            <w:tcBorders>
              <w:top w:val="single" w:color="auto" w:sz="4" w:space="0"/>
              <w:left w:val="nil"/>
              <w:bottom w:val="single" w:color="auto" w:sz="4" w:space="0"/>
              <w:right w:val="single" w:color="auto" w:sz="4" w:space="0"/>
            </w:tcBorders>
            <w:noWrap/>
            <w:vAlign w:val="center"/>
          </w:tcPr>
          <w:p w14:paraId="71B88D51">
            <w:pPr>
              <w:spacing w:after="0" w:line="240" w:lineRule="auto"/>
              <w:jc w:val="center"/>
              <w:rPr>
                <w:rFonts w:ascii="Arial" w:hAnsi="Arial" w:cs="Arial"/>
                <w:b/>
                <w:bCs/>
                <w:kern w:val="2"/>
                <w:sz w:val="16"/>
                <w:szCs w:val="16"/>
              </w:rPr>
            </w:pPr>
            <w:r>
              <w:rPr>
                <w:rFonts w:ascii="Arial" w:hAnsi="Arial" w:cs="Arial"/>
                <w:b/>
                <w:bCs/>
                <w:kern w:val="2"/>
                <w:sz w:val="16"/>
                <w:szCs w:val="16"/>
              </w:rPr>
              <w:t>Und</w:t>
            </w:r>
          </w:p>
        </w:tc>
        <w:tc>
          <w:tcPr>
            <w:tcW w:w="961" w:type="dxa"/>
            <w:tcBorders>
              <w:top w:val="single" w:color="auto" w:sz="4" w:space="0"/>
              <w:left w:val="single" w:color="auto" w:sz="4" w:space="0"/>
              <w:bottom w:val="single" w:color="auto" w:sz="4" w:space="0"/>
              <w:right w:val="single" w:color="auto" w:sz="4" w:space="0"/>
            </w:tcBorders>
            <w:noWrap/>
            <w:vAlign w:val="center"/>
          </w:tcPr>
          <w:p w14:paraId="29631BD4">
            <w:pPr>
              <w:spacing w:after="0" w:line="240" w:lineRule="auto"/>
              <w:jc w:val="center"/>
              <w:rPr>
                <w:rFonts w:ascii="Arial" w:hAnsi="Arial" w:cs="Arial"/>
                <w:b/>
                <w:bCs/>
                <w:kern w:val="2"/>
                <w:sz w:val="16"/>
                <w:szCs w:val="16"/>
              </w:rPr>
            </w:pPr>
            <w:r>
              <w:rPr>
                <w:rFonts w:ascii="Arial" w:hAnsi="Arial" w:cs="Arial"/>
                <w:b/>
                <w:bCs/>
                <w:kern w:val="2"/>
                <w:sz w:val="16"/>
                <w:szCs w:val="16"/>
              </w:rPr>
              <w:t>Qtd</w:t>
            </w:r>
          </w:p>
        </w:tc>
        <w:tc>
          <w:tcPr>
            <w:tcW w:w="1350" w:type="dxa"/>
            <w:tcBorders>
              <w:top w:val="single" w:color="auto" w:sz="4" w:space="0"/>
              <w:left w:val="single" w:color="auto" w:sz="4" w:space="0"/>
              <w:bottom w:val="single" w:color="auto" w:sz="4" w:space="0"/>
              <w:right w:val="single" w:color="auto" w:sz="4" w:space="0"/>
            </w:tcBorders>
          </w:tcPr>
          <w:p w14:paraId="4DD342D4">
            <w:pPr>
              <w:spacing w:after="0" w:line="240" w:lineRule="auto"/>
              <w:jc w:val="center"/>
              <w:rPr>
                <w:rFonts w:hint="default" w:ascii="Arial" w:hAnsi="Arial" w:cs="Arial"/>
                <w:b/>
                <w:bCs/>
                <w:kern w:val="2"/>
                <w:sz w:val="16"/>
                <w:szCs w:val="16"/>
                <w:lang w:val="pt-BR"/>
              </w:rPr>
            </w:pPr>
            <w:r>
              <w:rPr>
                <w:rFonts w:hint="default" w:ascii="Arial" w:hAnsi="Arial" w:cs="Arial"/>
                <w:b/>
                <w:bCs/>
                <w:kern w:val="2"/>
                <w:sz w:val="16"/>
                <w:szCs w:val="16"/>
                <w:lang w:val="pt-BR"/>
              </w:rPr>
              <w:t>Marca</w:t>
            </w:r>
          </w:p>
        </w:tc>
        <w:tc>
          <w:tcPr>
            <w:tcW w:w="1350" w:type="dxa"/>
            <w:tcBorders>
              <w:top w:val="single" w:color="auto" w:sz="4" w:space="0"/>
              <w:left w:val="single" w:color="auto" w:sz="4" w:space="0"/>
              <w:bottom w:val="single" w:color="auto" w:sz="4" w:space="0"/>
              <w:right w:val="single" w:color="auto" w:sz="4" w:space="0"/>
            </w:tcBorders>
          </w:tcPr>
          <w:p w14:paraId="468C28AF">
            <w:pPr>
              <w:spacing w:after="0" w:line="240" w:lineRule="auto"/>
              <w:jc w:val="center"/>
              <w:rPr>
                <w:rFonts w:ascii="Arial" w:hAnsi="Arial" w:cs="Arial"/>
                <w:b/>
                <w:bCs/>
                <w:kern w:val="2"/>
                <w:sz w:val="16"/>
                <w:szCs w:val="16"/>
              </w:rPr>
            </w:pPr>
            <w:r>
              <w:rPr>
                <w:rFonts w:ascii="Arial" w:hAnsi="Arial" w:cs="Arial"/>
                <w:b/>
                <w:bCs/>
                <w:kern w:val="2"/>
                <w:sz w:val="16"/>
                <w:szCs w:val="16"/>
              </w:rPr>
              <w:t>Valor Unitário</w:t>
            </w:r>
          </w:p>
        </w:tc>
        <w:tc>
          <w:tcPr>
            <w:tcW w:w="1155" w:type="dxa"/>
            <w:tcBorders>
              <w:top w:val="single" w:color="auto" w:sz="4" w:space="0"/>
              <w:left w:val="single" w:color="auto" w:sz="4" w:space="0"/>
              <w:bottom w:val="single" w:color="auto" w:sz="4" w:space="0"/>
              <w:right w:val="single" w:color="auto" w:sz="4" w:space="0"/>
            </w:tcBorders>
          </w:tcPr>
          <w:p w14:paraId="62E56667">
            <w:pPr>
              <w:spacing w:after="0" w:line="240" w:lineRule="auto"/>
              <w:jc w:val="center"/>
              <w:rPr>
                <w:rFonts w:ascii="Arial" w:hAnsi="Arial" w:cs="Arial"/>
                <w:b/>
                <w:bCs/>
                <w:kern w:val="2"/>
                <w:sz w:val="16"/>
                <w:szCs w:val="16"/>
              </w:rPr>
            </w:pPr>
            <w:r>
              <w:rPr>
                <w:rFonts w:ascii="Arial" w:hAnsi="Arial" w:cs="Arial"/>
                <w:b/>
                <w:bCs/>
                <w:kern w:val="2"/>
                <w:sz w:val="16"/>
                <w:szCs w:val="16"/>
              </w:rPr>
              <w:t>Valor Total</w:t>
            </w:r>
          </w:p>
        </w:tc>
      </w:tr>
      <w:tr w14:paraId="500C3CE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1A5B496">
            <w:pPr>
              <w:spacing w:line="240" w:lineRule="auto"/>
              <w:jc w:val="center"/>
              <w:rPr>
                <w:rFonts w:ascii="Arial" w:hAnsi="Arial" w:cs="Arial"/>
                <w:kern w:val="2"/>
                <w:sz w:val="16"/>
                <w:szCs w:val="16"/>
              </w:rPr>
            </w:pPr>
            <w:r>
              <w:rPr>
                <w:rFonts w:ascii="Arial" w:hAnsi="Arial" w:cs="Arial"/>
                <w:kern w:val="2"/>
                <w:sz w:val="16"/>
                <w:szCs w:val="16"/>
              </w:rPr>
              <w:t>1</w:t>
            </w:r>
          </w:p>
        </w:tc>
        <w:tc>
          <w:tcPr>
            <w:tcW w:w="4646" w:type="dxa"/>
            <w:tcBorders>
              <w:top w:val="nil"/>
              <w:left w:val="nil"/>
              <w:bottom w:val="single" w:color="auto" w:sz="4" w:space="0"/>
              <w:right w:val="single" w:color="auto" w:sz="4" w:space="0"/>
            </w:tcBorders>
            <w:shd w:val="clear" w:color="auto" w:fill="auto"/>
            <w:noWrap/>
            <w:vAlign w:val="center"/>
          </w:tcPr>
          <w:p w14:paraId="6FF548A4">
            <w:pPr>
              <w:autoSpaceDE w:val="0"/>
              <w:autoSpaceDN w:val="0"/>
              <w:adjustRightInd w:val="0"/>
              <w:spacing w:after="0" w:line="240" w:lineRule="auto"/>
              <w:jc w:val="both"/>
              <w:rPr>
                <w:rFonts w:hint="default" w:ascii="Arial" w:hAnsi="Arial" w:eastAsia="Arial" w:cs="Arial"/>
                <w:b w:val="0"/>
                <w:bCs w:val="0"/>
                <w:sz w:val="16"/>
                <w:szCs w:val="16"/>
                <w:rtl w:val="0"/>
                <w:lang w:val="pt-BR" w:eastAsia="en-US"/>
              </w:rPr>
            </w:pPr>
            <w:r>
              <w:rPr>
                <w:rFonts w:hint="default" w:ascii="Arial" w:hAnsi="Arial" w:eastAsia="Arial"/>
                <w:b w:val="0"/>
                <w:bCs w:val="0"/>
                <w:sz w:val="16"/>
                <w:szCs w:val="16"/>
                <w:rtl w:val="0"/>
                <w:lang w:val="pt-BR"/>
              </w:rPr>
              <w:t>BOTA DE UNNA 100% ALGODÃO 10,2CM X 6M</w:t>
            </w:r>
          </w:p>
        </w:tc>
        <w:tc>
          <w:tcPr>
            <w:tcW w:w="734" w:type="dxa"/>
            <w:tcBorders>
              <w:top w:val="nil"/>
              <w:left w:val="nil"/>
              <w:bottom w:val="single" w:color="auto" w:sz="4" w:space="0"/>
              <w:right w:val="single" w:color="auto" w:sz="4" w:space="0"/>
            </w:tcBorders>
            <w:shd w:val="clear" w:color="auto" w:fill="auto"/>
            <w:noWrap/>
            <w:vAlign w:val="center"/>
          </w:tcPr>
          <w:p w14:paraId="6C127E51">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3714DEFC">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100</w:t>
            </w:r>
          </w:p>
        </w:tc>
        <w:tc>
          <w:tcPr>
            <w:tcW w:w="1350" w:type="dxa"/>
            <w:tcBorders>
              <w:top w:val="nil"/>
              <w:left w:val="single" w:color="auto" w:sz="4" w:space="0"/>
              <w:bottom w:val="single" w:color="auto" w:sz="4" w:space="0"/>
              <w:right w:val="single" w:color="auto" w:sz="4" w:space="0"/>
            </w:tcBorders>
          </w:tcPr>
          <w:p w14:paraId="1C64F675">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342DA389">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02460C9C">
            <w:pPr>
              <w:wordWrap w:val="0"/>
              <w:spacing w:after="0" w:line="240" w:lineRule="auto"/>
              <w:jc w:val="center"/>
              <w:rPr>
                <w:rFonts w:ascii="Arial" w:hAnsi="Arial" w:cs="Arial"/>
                <w:kern w:val="2"/>
                <w:sz w:val="16"/>
                <w:szCs w:val="16"/>
              </w:rPr>
            </w:pPr>
          </w:p>
        </w:tc>
      </w:tr>
      <w:tr w14:paraId="5DD182C7">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ADE9ED3">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2</w:t>
            </w:r>
          </w:p>
        </w:tc>
        <w:tc>
          <w:tcPr>
            <w:tcW w:w="4646" w:type="dxa"/>
            <w:tcBorders>
              <w:top w:val="nil"/>
              <w:left w:val="nil"/>
              <w:bottom w:val="single" w:color="auto" w:sz="4" w:space="0"/>
              <w:right w:val="single" w:color="auto" w:sz="4" w:space="0"/>
            </w:tcBorders>
            <w:shd w:val="clear" w:color="auto" w:fill="auto"/>
            <w:noWrap/>
            <w:vAlign w:val="center"/>
          </w:tcPr>
          <w:p w14:paraId="086A5A52">
            <w:pPr>
              <w:autoSpaceDE w:val="0"/>
              <w:autoSpaceDN w:val="0"/>
              <w:adjustRightInd w:val="0"/>
              <w:spacing w:after="0" w:line="240" w:lineRule="auto"/>
              <w:jc w:val="both"/>
              <w:rPr>
                <w:rFonts w:hint="default" w:ascii="Arial" w:hAnsi="Arial" w:eastAsia="Arial" w:cs="Arial"/>
                <w:b w:val="0"/>
                <w:bCs w:val="0"/>
                <w:sz w:val="16"/>
                <w:szCs w:val="16"/>
                <w:rtl w:val="0"/>
                <w:lang w:val="pt-BR" w:eastAsia="en-US" w:bidi="ar-SA"/>
              </w:rPr>
            </w:pPr>
            <w:r>
              <w:rPr>
                <w:rFonts w:hint="default" w:ascii="Arial" w:hAnsi="Arial" w:eastAsia="Arial"/>
                <w:b w:val="0"/>
                <w:bCs w:val="0"/>
                <w:sz w:val="16"/>
                <w:szCs w:val="16"/>
                <w:rtl w:val="0"/>
                <w:lang w:val="pt-BR"/>
              </w:rPr>
              <w:t>BOTA DE UNNA 100% ALGODÃO 7,5CM X 6M</w:t>
            </w:r>
          </w:p>
        </w:tc>
        <w:tc>
          <w:tcPr>
            <w:tcW w:w="734" w:type="dxa"/>
            <w:tcBorders>
              <w:top w:val="nil"/>
              <w:left w:val="nil"/>
              <w:bottom w:val="single" w:color="auto" w:sz="4" w:space="0"/>
              <w:right w:val="single" w:color="auto" w:sz="4" w:space="0"/>
            </w:tcBorders>
            <w:shd w:val="clear" w:color="auto" w:fill="auto"/>
            <w:noWrap/>
            <w:vAlign w:val="center"/>
          </w:tcPr>
          <w:p w14:paraId="52F8D3D7">
            <w:pPr>
              <w:autoSpaceDE w:val="0"/>
              <w:autoSpaceDN w:val="0"/>
              <w:adjustRightInd w:val="0"/>
              <w:spacing w:after="0" w:line="240" w:lineRule="auto"/>
              <w:jc w:val="center"/>
              <w:rPr>
                <w:rFonts w:hint="default" w:ascii="Arial" w:hAnsi="Arial" w:eastAsia="Arial" w:cs="Arial"/>
                <w:sz w:val="16"/>
                <w:szCs w:val="16"/>
                <w:rtl w:val="0"/>
                <w:lang w:val="en-US" w:eastAsia="pt-BR" w:bidi="ar-SA"/>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624CBA51">
            <w:pPr>
              <w:autoSpaceDE w:val="0"/>
              <w:autoSpaceDN w:val="0"/>
              <w:adjustRightInd w:val="0"/>
              <w:spacing w:after="0" w:line="240" w:lineRule="auto"/>
              <w:jc w:val="center"/>
              <w:rPr>
                <w:rFonts w:hint="default" w:ascii="Arial" w:hAnsi="Arial" w:eastAsia="Arial" w:cs="Arial"/>
                <w:sz w:val="16"/>
                <w:szCs w:val="16"/>
                <w:rtl w:val="0"/>
                <w:lang w:val="en-US" w:eastAsia="pt-BR" w:bidi="ar-SA"/>
              </w:rPr>
            </w:pPr>
            <w:r>
              <w:rPr>
                <w:rFonts w:hint="default" w:ascii="Arial" w:hAnsi="Arial" w:eastAsia="Arial" w:cs="Arial"/>
                <w:sz w:val="16"/>
                <w:szCs w:val="16"/>
                <w:rtl w:val="0"/>
                <w:lang w:val="en-US" w:eastAsia="pt-BR"/>
              </w:rPr>
              <w:t>100</w:t>
            </w:r>
          </w:p>
        </w:tc>
        <w:tc>
          <w:tcPr>
            <w:tcW w:w="1350" w:type="dxa"/>
            <w:tcBorders>
              <w:top w:val="nil"/>
              <w:left w:val="single" w:color="auto" w:sz="4" w:space="0"/>
              <w:bottom w:val="single" w:color="auto" w:sz="4" w:space="0"/>
              <w:right w:val="single" w:color="auto" w:sz="4" w:space="0"/>
            </w:tcBorders>
          </w:tcPr>
          <w:p w14:paraId="7BA56630">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74BFD91D">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3F34319E">
            <w:pPr>
              <w:wordWrap w:val="0"/>
              <w:spacing w:after="0" w:line="240" w:lineRule="auto"/>
              <w:jc w:val="center"/>
              <w:rPr>
                <w:rFonts w:ascii="Arial" w:hAnsi="Arial" w:cs="Arial"/>
                <w:kern w:val="2"/>
                <w:sz w:val="16"/>
                <w:szCs w:val="16"/>
              </w:rPr>
            </w:pPr>
          </w:p>
        </w:tc>
      </w:tr>
      <w:tr w14:paraId="77FDEC38">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7DC4FD7">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3</w:t>
            </w:r>
          </w:p>
        </w:tc>
        <w:tc>
          <w:tcPr>
            <w:tcW w:w="4646" w:type="dxa"/>
            <w:tcBorders>
              <w:top w:val="nil"/>
              <w:left w:val="nil"/>
              <w:bottom w:val="single" w:color="auto" w:sz="4" w:space="0"/>
              <w:right w:val="single" w:color="auto" w:sz="4" w:space="0"/>
            </w:tcBorders>
            <w:shd w:val="clear" w:color="auto" w:fill="auto"/>
            <w:noWrap/>
            <w:vAlign w:val="center"/>
          </w:tcPr>
          <w:p w14:paraId="5E9E63E4">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CAMPO FENESTRADO DE 10CM DESCARTÁVEL 30 X 30 EM TNT ESTERILIZÁVEL</w:t>
            </w:r>
          </w:p>
        </w:tc>
        <w:tc>
          <w:tcPr>
            <w:tcW w:w="734" w:type="dxa"/>
            <w:tcBorders>
              <w:top w:val="nil"/>
              <w:left w:val="nil"/>
              <w:bottom w:val="single" w:color="auto" w:sz="4" w:space="0"/>
              <w:right w:val="single" w:color="auto" w:sz="4" w:space="0"/>
            </w:tcBorders>
            <w:shd w:val="clear" w:color="auto" w:fill="auto"/>
            <w:noWrap/>
            <w:vAlign w:val="center"/>
          </w:tcPr>
          <w:p w14:paraId="4D9848A6">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249E68BD">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600</w:t>
            </w:r>
          </w:p>
        </w:tc>
        <w:tc>
          <w:tcPr>
            <w:tcW w:w="1350" w:type="dxa"/>
            <w:tcBorders>
              <w:top w:val="nil"/>
              <w:left w:val="single" w:color="auto" w:sz="4" w:space="0"/>
              <w:bottom w:val="single" w:color="auto" w:sz="4" w:space="0"/>
              <w:right w:val="single" w:color="auto" w:sz="4" w:space="0"/>
            </w:tcBorders>
          </w:tcPr>
          <w:p w14:paraId="17ED352E">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6ED1D6F0">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7F2CEA28">
            <w:pPr>
              <w:wordWrap w:val="0"/>
              <w:spacing w:after="0" w:line="240" w:lineRule="auto"/>
              <w:jc w:val="center"/>
              <w:rPr>
                <w:rFonts w:ascii="Arial" w:hAnsi="Arial" w:cs="Arial"/>
                <w:kern w:val="2"/>
                <w:sz w:val="16"/>
                <w:szCs w:val="16"/>
              </w:rPr>
            </w:pPr>
          </w:p>
        </w:tc>
      </w:tr>
      <w:tr w14:paraId="5763FB49">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5DF3FEB">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4</w:t>
            </w:r>
          </w:p>
        </w:tc>
        <w:tc>
          <w:tcPr>
            <w:tcW w:w="4646" w:type="dxa"/>
            <w:tcBorders>
              <w:top w:val="nil"/>
              <w:left w:val="nil"/>
              <w:bottom w:val="single" w:color="auto" w:sz="4" w:space="0"/>
              <w:right w:val="single" w:color="auto" w:sz="4" w:space="0"/>
            </w:tcBorders>
            <w:shd w:val="clear" w:color="auto" w:fill="auto"/>
            <w:noWrap/>
            <w:vAlign w:val="center"/>
          </w:tcPr>
          <w:p w14:paraId="0879A799">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GAZE RAYON 7,5CM X 7,5CM</w:t>
            </w:r>
          </w:p>
        </w:tc>
        <w:tc>
          <w:tcPr>
            <w:tcW w:w="734" w:type="dxa"/>
            <w:tcBorders>
              <w:top w:val="nil"/>
              <w:left w:val="nil"/>
              <w:bottom w:val="single" w:color="auto" w:sz="4" w:space="0"/>
              <w:right w:val="single" w:color="auto" w:sz="4" w:space="0"/>
            </w:tcBorders>
            <w:shd w:val="clear" w:color="auto" w:fill="auto"/>
            <w:noWrap/>
            <w:vAlign w:val="center"/>
          </w:tcPr>
          <w:p w14:paraId="7506D29D">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07BFA937">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3.000</w:t>
            </w:r>
          </w:p>
        </w:tc>
        <w:tc>
          <w:tcPr>
            <w:tcW w:w="1350" w:type="dxa"/>
            <w:tcBorders>
              <w:top w:val="nil"/>
              <w:left w:val="single" w:color="auto" w:sz="4" w:space="0"/>
              <w:bottom w:val="single" w:color="auto" w:sz="4" w:space="0"/>
              <w:right w:val="single" w:color="auto" w:sz="4" w:space="0"/>
            </w:tcBorders>
          </w:tcPr>
          <w:p w14:paraId="19EF4FAC">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7467F955">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6649299B">
            <w:pPr>
              <w:wordWrap w:val="0"/>
              <w:spacing w:after="0" w:line="240" w:lineRule="auto"/>
              <w:jc w:val="center"/>
              <w:rPr>
                <w:rFonts w:ascii="Arial" w:hAnsi="Arial" w:cs="Arial"/>
                <w:kern w:val="2"/>
                <w:sz w:val="16"/>
                <w:szCs w:val="16"/>
              </w:rPr>
            </w:pPr>
          </w:p>
        </w:tc>
      </w:tr>
      <w:tr w14:paraId="22C5311B">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85F10B4">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5</w:t>
            </w:r>
          </w:p>
        </w:tc>
        <w:tc>
          <w:tcPr>
            <w:tcW w:w="4646" w:type="dxa"/>
            <w:tcBorders>
              <w:top w:val="nil"/>
              <w:left w:val="nil"/>
              <w:bottom w:val="single" w:color="auto" w:sz="4" w:space="0"/>
              <w:right w:val="single" w:color="auto" w:sz="4" w:space="0"/>
            </w:tcBorders>
            <w:shd w:val="clear" w:color="auto" w:fill="auto"/>
            <w:noWrap/>
            <w:vAlign w:val="center"/>
          </w:tcPr>
          <w:p w14:paraId="2F16DD36">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MACACÃO DE PROTEÇÃO DESCARTÁVEL TNT 40 C/ELÁSTICO NA CINTURA</w:t>
            </w:r>
          </w:p>
        </w:tc>
        <w:tc>
          <w:tcPr>
            <w:tcW w:w="734" w:type="dxa"/>
            <w:tcBorders>
              <w:top w:val="nil"/>
              <w:left w:val="nil"/>
              <w:bottom w:val="single" w:color="auto" w:sz="4" w:space="0"/>
              <w:right w:val="single" w:color="auto" w:sz="4" w:space="0"/>
            </w:tcBorders>
            <w:shd w:val="clear" w:color="auto" w:fill="auto"/>
            <w:noWrap/>
            <w:vAlign w:val="center"/>
          </w:tcPr>
          <w:p w14:paraId="449130C4">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5DC4F8DA">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1.000</w:t>
            </w:r>
          </w:p>
        </w:tc>
        <w:tc>
          <w:tcPr>
            <w:tcW w:w="1350" w:type="dxa"/>
            <w:tcBorders>
              <w:top w:val="nil"/>
              <w:left w:val="single" w:color="auto" w:sz="4" w:space="0"/>
              <w:bottom w:val="single" w:color="auto" w:sz="4" w:space="0"/>
              <w:right w:val="single" w:color="auto" w:sz="4" w:space="0"/>
            </w:tcBorders>
          </w:tcPr>
          <w:p w14:paraId="34E82969">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01B6A231">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30A5C31E">
            <w:pPr>
              <w:wordWrap w:val="0"/>
              <w:spacing w:after="0" w:line="240" w:lineRule="auto"/>
              <w:jc w:val="center"/>
              <w:rPr>
                <w:rFonts w:ascii="Arial" w:hAnsi="Arial" w:cs="Arial"/>
                <w:kern w:val="2"/>
                <w:sz w:val="16"/>
                <w:szCs w:val="16"/>
              </w:rPr>
            </w:pPr>
          </w:p>
        </w:tc>
      </w:tr>
      <w:tr w14:paraId="25856CE6">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7AE1ABAA">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6</w:t>
            </w:r>
          </w:p>
        </w:tc>
        <w:tc>
          <w:tcPr>
            <w:tcW w:w="4646" w:type="dxa"/>
            <w:tcBorders>
              <w:top w:val="nil"/>
              <w:left w:val="nil"/>
              <w:bottom w:val="single" w:color="auto" w:sz="4" w:space="0"/>
              <w:right w:val="single" w:color="auto" w:sz="4" w:space="0"/>
            </w:tcBorders>
            <w:shd w:val="clear" w:color="auto" w:fill="auto"/>
            <w:noWrap/>
            <w:vAlign w:val="center"/>
          </w:tcPr>
          <w:p w14:paraId="06E9F750">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MALHA TUBULAR DE ALGODÃO 12CM X 15M</w:t>
            </w:r>
          </w:p>
        </w:tc>
        <w:tc>
          <w:tcPr>
            <w:tcW w:w="734" w:type="dxa"/>
            <w:tcBorders>
              <w:top w:val="nil"/>
              <w:left w:val="nil"/>
              <w:bottom w:val="single" w:color="auto" w:sz="4" w:space="0"/>
              <w:right w:val="single" w:color="auto" w:sz="4" w:space="0"/>
            </w:tcBorders>
            <w:shd w:val="clear" w:color="auto" w:fill="auto"/>
            <w:noWrap/>
            <w:vAlign w:val="center"/>
          </w:tcPr>
          <w:p w14:paraId="4587DFBB">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5F65B992">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200</w:t>
            </w:r>
          </w:p>
        </w:tc>
        <w:tc>
          <w:tcPr>
            <w:tcW w:w="1350" w:type="dxa"/>
            <w:tcBorders>
              <w:top w:val="nil"/>
              <w:left w:val="single" w:color="auto" w:sz="4" w:space="0"/>
              <w:bottom w:val="single" w:color="auto" w:sz="4" w:space="0"/>
              <w:right w:val="single" w:color="auto" w:sz="4" w:space="0"/>
            </w:tcBorders>
          </w:tcPr>
          <w:p w14:paraId="27EEEC50">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4F4E0CE5">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7ABBEBA2">
            <w:pPr>
              <w:wordWrap w:val="0"/>
              <w:spacing w:after="0" w:line="240" w:lineRule="auto"/>
              <w:jc w:val="center"/>
              <w:rPr>
                <w:rFonts w:ascii="Arial" w:hAnsi="Arial" w:cs="Arial"/>
                <w:kern w:val="2"/>
                <w:sz w:val="16"/>
                <w:szCs w:val="16"/>
              </w:rPr>
            </w:pPr>
          </w:p>
        </w:tc>
      </w:tr>
      <w:tr w14:paraId="788C2737">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2429F4D9">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7</w:t>
            </w:r>
          </w:p>
        </w:tc>
        <w:tc>
          <w:tcPr>
            <w:tcW w:w="4646" w:type="dxa"/>
            <w:tcBorders>
              <w:top w:val="nil"/>
              <w:left w:val="nil"/>
              <w:bottom w:val="single" w:color="auto" w:sz="4" w:space="0"/>
              <w:right w:val="single" w:color="auto" w:sz="4" w:space="0"/>
            </w:tcBorders>
            <w:shd w:val="clear" w:color="auto" w:fill="auto"/>
            <w:noWrap/>
            <w:vAlign w:val="center"/>
          </w:tcPr>
          <w:p w14:paraId="1288B990">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OXÍMETRO DE DEDO</w:t>
            </w:r>
          </w:p>
        </w:tc>
        <w:tc>
          <w:tcPr>
            <w:tcW w:w="734" w:type="dxa"/>
            <w:tcBorders>
              <w:top w:val="nil"/>
              <w:left w:val="nil"/>
              <w:bottom w:val="single" w:color="auto" w:sz="4" w:space="0"/>
              <w:right w:val="single" w:color="auto" w:sz="4" w:space="0"/>
            </w:tcBorders>
            <w:shd w:val="clear" w:color="auto" w:fill="auto"/>
            <w:noWrap/>
            <w:vAlign w:val="center"/>
          </w:tcPr>
          <w:p w14:paraId="2A54E696">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7FBFF78F">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12</w:t>
            </w:r>
          </w:p>
        </w:tc>
        <w:tc>
          <w:tcPr>
            <w:tcW w:w="1350" w:type="dxa"/>
            <w:tcBorders>
              <w:top w:val="nil"/>
              <w:left w:val="single" w:color="auto" w:sz="4" w:space="0"/>
              <w:bottom w:val="single" w:color="auto" w:sz="4" w:space="0"/>
              <w:right w:val="single" w:color="auto" w:sz="4" w:space="0"/>
            </w:tcBorders>
          </w:tcPr>
          <w:p w14:paraId="76C730E2">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7B544636">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39AF5ED0">
            <w:pPr>
              <w:wordWrap w:val="0"/>
              <w:spacing w:after="0" w:line="240" w:lineRule="auto"/>
              <w:jc w:val="center"/>
              <w:rPr>
                <w:rFonts w:ascii="Arial" w:hAnsi="Arial" w:cs="Arial"/>
                <w:kern w:val="2"/>
                <w:sz w:val="16"/>
                <w:szCs w:val="16"/>
              </w:rPr>
            </w:pPr>
          </w:p>
        </w:tc>
      </w:tr>
      <w:tr w14:paraId="5824731A">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7DF7803D">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8</w:t>
            </w:r>
          </w:p>
        </w:tc>
        <w:tc>
          <w:tcPr>
            <w:tcW w:w="4646" w:type="dxa"/>
            <w:tcBorders>
              <w:top w:val="nil"/>
              <w:left w:val="nil"/>
              <w:bottom w:val="single" w:color="auto" w:sz="4" w:space="0"/>
              <w:right w:val="single" w:color="auto" w:sz="4" w:space="0"/>
            </w:tcBorders>
            <w:shd w:val="clear" w:color="auto" w:fill="auto"/>
            <w:noWrap/>
            <w:vAlign w:val="center"/>
          </w:tcPr>
          <w:p w14:paraId="5C69A34F">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PHMD SABONETE ANTISÉPTICO 500 ML</w:t>
            </w:r>
          </w:p>
        </w:tc>
        <w:tc>
          <w:tcPr>
            <w:tcW w:w="734" w:type="dxa"/>
            <w:tcBorders>
              <w:top w:val="nil"/>
              <w:left w:val="nil"/>
              <w:bottom w:val="single" w:color="auto" w:sz="4" w:space="0"/>
              <w:right w:val="single" w:color="auto" w:sz="4" w:space="0"/>
            </w:tcBorders>
            <w:shd w:val="clear" w:color="auto" w:fill="auto"/>
            <w:noWrap/>
            <w:vAlign w:val="center"/>
          </w:tcPr>
          <w:p w14:paraId="3FECDB9C">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075E4BB8">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600</w:t>
            </w:r>
          </w:p>
        </w:tc>
        <w:tc>
          <w:tcPr>
            <w:tcW w:w="1350" w:type="dxa"/>
            <w:tcBorders>
              <w:top w:val="nil"/>
              <w:left w:val="single" w:color="auto" w:sz="4" w:space="0"/>
              <w:bottom w:val="single" w:color="auto" w:sz="4" w:space="0"/>
              <w:right w:val="single" w:color="auto" w:sz="4" w:space="0"/>
            </w:tcBorders>
          </w:tcPr>
          <w:p w14:paraId="24BF7100">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15995BDB">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1CA5F06C">
            <w:pPr>
              <w:wordWrap w:val="0"/>
              <w:spacing w:after="0" w:line="240" w:lineRule="auto"/>
              <w:jc w:val="center"/>
              <w:rPr>
                <w:rFonts w:ascii="Arial" w:hAnsi="Arial" w:cs="Arial"/>
                <w:kern w:val="2"/>
                <w:sz w:val="16"/>
                <w:szCs w:val="16"/>
              </w:rPr>
            </w:pPr>
          </w:p>
        </w:tc>
      </w:tr>
      <w:tr w14:paraId="1B8E76D8">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7FE3B128">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9</w:t>
            </w:r>
          </w:p>
        </w:tc>
        <w:tc>
          <w:tcPr>
            <w:tcW w:w="4646" w:type="dxa"/>
            <w:tcBorders>
              <w:top w:val="nil"/>
              <w:left w:val="nil"/>
              <w:bottom w:val="single" w:color="auto" w:sz="4" w:space="0"/>
              <w:right w:val="single" w:color="auto" w:sz="4" w:space="0"/>
            </w:tcBorders>
            <w:shd w:val="clear" w:color="auto" w:fill="auto"/>
            <w:noWrap/>
            <w:vAlign w:val="center"/>
          </w:tcPr>
          <w:p w14:paraId="29C176E1">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SERINGA DESCARTÁVEL SEM AGULHA 20ML (luer slip-sem rosca) COM 100 UNIDADES</w:t>
            </w:r>
          </w:p>
        </w:tc>
        <w:tc>
          <w:tcPr>
            <w:tcW w:w="734" w:type="dxa"/>
            <w:tcBorders>
              <w:top w:val="nil"/>
              <w:left w:val="nil"/>
              <w:bottom w:val="single" w:color="auto" w:sz="4" w:space="0"/>
              <w:right w:val="single" w:color="auto" w:sz="4" w:space="0"/>
            </w:tcBorders>
            <w:shd w:val="clear" w:color="auto" w:fill="auto"/>
            <w:noWrap/>
            <w:vAlign w:val="center"/>
          </w:tcPr>
          <w:p w14:paraId="15C50400">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CX</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49CCEFBE">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300</w:t>
            </w:r>
          </w:p>
        </w:tc>
        <w:tc>
          <w:tcPr>
            <w:tcW w:w="1350" w:type="dxa"/>
            <w:tcBorders>
              <w:top w:val="nil"/>
              <w:left w:val="single" w:color="auto" w:sz="4" w:space="0"/>
              <w:bottom w:val="single" w:color="auto" w:sz="4" w:space="0"/>
              <w:right w:val="single" w:color="auto" w:sz="4" w:space="0"/>
            </w:tcBorders>
          </w:tcPr>
          <w:p w14:paraId="2750F065">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1BAFDE9C">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2F3CDC38">
            <w:pPr>
              <w:wordWrap w:val="0"/>
              <w:spacing w:after="0" w:line="240" w:lineRule="auto"/>
              <w:jc w:val="center"/>
              <w:rPr>
                <w:rFonts w:ascii="Arial" w:hAnsi="Arial" w:cs="Arial"/>
                <w:kern w:val="2"/>
                <w:sz w:val="16"/>
                <w:szCs w:val="16"/>
              </w:rPr>
            </w:pPr>
          </w:p>
        </w:tc>
      </w:tr>
      <w:tr w14:paraId="1B2594FB">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2BBC367A">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10</w:t>
            </w:r>
          </w:p>
        </w:tc>
        <w:tc>
          <w:tcPr>
            <w:tcW w:w="4646" w:type="dxa"/>
            <w:tcBorders>
              <w:top w:val="nil"/>
              <w:left w:val="nil"/>
              <w:bottom w:val="single" w:color="auto" w:sz="4" w:space="0"/>
              <w:right w:val="single" w:color="auto" w:sz="4" w:space="0"/>
            </w:tcBorders>
            <w:shd w:val="clear" w:color="auto" w:fill="auto"/>
            <w:noWrap/>
            <w:vAlign w:val="center"/>
          </w:tcPr>
          <w:p w14:paraId="22D18FD7">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SONDA FOLEY 3 VIAS Nº 14</w:t>
            </w:r>
          </w:p>
        </w:tc>
        <w:tc>
          <w:tcPr>
            <w:tcW w:w="734" w:type="dxa"/>
            <w:tcBorders>
              <w:top w:val="nil"/>
              <w:left w:val="nil"/>
              <w:bottom w:val="single" w:color="auto" w:sz="4" w:space="0"/>
              <w:right w:val="single" w:color="auto" w:sz="4" w:space="0"/>
            </w:tcBorders>
            <w:shd w:val="clear" w:color="auto" w:fill="auto"/>
            <w:noWrap/>
            <w:vAlign w:val="center"/>
          </w:tcPr>
          <w:p w14:paraId="785A4F49">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50ED537D">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100</w:t>
            </w:r>
          </w:p>
        </w:tc>
        <w:tc>
          <w:tcPr>
            <w:tcW w:w="1350" w:type="dxa"/>
            <w:tcBorders>
              <w:top w:val="nil"/>
              <w:left w:val="single" w:color="auto" w:sz="4" w:space="0"/>
              <w:bottom w:val="single" w:color="auto" w:sz="4" w:space="0"/>
              <w:right w:val="single" w:color="auto" w:sz="4" w:space="0"/>
            </w:tcBorders>
          </w:tcPr>
          <w:p w14:paraId="6A9A2F78">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5B4A398B">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3C85F472">
            <w:pPr>
              <w:wordWrap w:val="0"/>
              <w:spacing w:after="0" w:line="240" w:lineRule="auto"/>
              <w:jc w:val="center"/>
              <w:rPr>
                <w:rFonts w:ascii="Arial" w:hAnsi="Arial" w:cs="Arial"/>
                <w:kern w:val="2"/>
                <w:sz w:val="16"/>
                <w:szCs w:val="16"/>
              </w:rPr>
            </w:pPr>
          </w:p>
        </w:tc>
      </w:tr>
      <w:tr w14:paraId="2368F496">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9A0A4F9">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11</w:t>
            </w:r>
          </w:p>
        </w:tc>
        <w:tc>
          <w:tcPr>
            <w:tcW w:w="4646" w:type="dxa"/>
            <w:tcBorders>
              <w:top w:val="nil"/>
              <w:left w:val="nil"/>
              <w:bottom w:val="single" w:color="auto" w:sz="4" w:space="0"/>
              <w:right w:val="single" w:color="auto" w:sz="4" w:space="0"/>
            </w:tcBorders>
            <w:shd w:val="clear" w:color="auto" w:fill="auto"/>
            <w:noWrap/>
            <w:vAlign w:val="center"/>
          </w:tcPr>
          <w:p w14:paraId="74122724">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SULFADIAZINA DE PRATA 1% POTE DE 400 GRAMAS</w:t>
            </w:r>
          </w:p>
        </w:tc>
        <w:tc>
          <w:tcPr>
            <w:tcW w:w="734" w:type="dxa"/>
            <w:tcBorders>
              <w:top w:val="nil"/>
              <w:left w:val="nil"/>
              <w:bottom w:val="single" w:color="auto" w:sz="4" w:space="0"/>
              <w:right w:val="single" w:color="auto" w:sz="4" w:space="0"/>
            </w:tcBorders>
            <w:shd w:val="clear" w:color="auto" w:fill="auto"/>
            <w:noWrap/>
            <w:vAlign w:val="center"/>
          </w:tcPr>
          <w:p w14:paraId="4EAE1BFB">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PT</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6BC02E39">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610</w:t>
            </w:r>
          </w:p>
        </w:tc>
        <w:tc>
          <w:tcPr>
            <w:tcW w:w="1350" w:type="dxa"/>
            <w:tcBorders>
              <w:top w:val="nil"/>
              <w:left w:val="single" w:color="auto" w:sz="4" w:space="0"/>
              <w:bottom w:val="single" w:color="auto" w:sz="4" w:space="0"/>
              <w:right w:val="single" w:color="auto" w:sz="4" w:space="0"/>
            </w:tcBorders>
          </w:tcPr>
          <w:p w14:paraId="183845DE">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65C03C8E">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00C09DC9">
            <w:pPr>
              <w:wordWrap w:val="0"/>
              <w:spacing w:after="0" w:line="240" w:lineRule="auto"/>
              <w:jc w:val="center"/>
              <w:rPr>
                <w:rFonts w:ascii="Arial" w:hAnsi="Arial" w:cs="Arial"/>
                <w:kern w:val="2"/>
                <w:sz w:val="16"/>
                <w:szCs w:val="16"/>
              </w:rPr>
            </w:pPr>
          </w:p>
        </w:tc>
      </w:tr>
      <w:tr w14:paraId="3900AF16">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4F2D79D3">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12</w:t>
            </w:r>
          </w:p>
        </w:tc>
        <w:tc>
          <w:tcPr>
            <w:tcW w:w="4646" w:type="dxa"/>
            <w:tcBorders>
              <w:top w:val="nil"/>
              <w:left w:val="nil"/>
              <w:bottom w:val="single" w:color="auto" w:sz="4" w:space="0"/>
              <w:right w:val="single" w:color="auto" w:sz="4" w:space="0"/>
            </w:tcBorders>
            <w:shd w:val="clear" w:color="auto" w:fill="auto"/>
            <w:noWrap/>
            <w:vAlign w:val="center"/>
          </w:tcPr>
          <w:p w14:paraId="0BAB0C89">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TALA METÁLICA PARA IMOBILIZAÇÃO 16MM X 250MM</w:t>
            </w:r>
          </w:p>
        </w:tc>
        <w:tc>
          <w:tcPr>
            <w:tcW w:w="734" w:type="dxa"/>
            <w:tcBorders>
              <w:top w:val="nil"/>
              <w:left w:val="nil"/>
              <w:bottom w:val="single" w:color="auto" w:sz="4" w:space="0"/>
              <w:right w:val="single" w:color="auto" w:sz="4" w:space="0"/>
            </w:tcBorders>
            <w:shd w:val="clear" w:color="auto" w:fill="auto"/>
            <w:noWrap/>
            <w:vAlign w:val="center"/>
          </w:tcPr>
          <w:p w14:paraId="57BBDA70">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609E4B95">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500</w:t>
            </w:r>
          </w:p>
        </w:tc>
        <w:tc>
          <w:tcPr>
            <w:tcW w:w="1350" w:type="dxa"/>
            <w:tcBorders>
              <w:top w:val="nil"/>
              <w:left w:val="single" w:color="auto" w:sz="4" w:space="0"/>
              <w:bottom w:val="single" w:color="auto" w:sz="4" w:space="0"/>
              <w:right w:val="single" w:color="auto" w:sz="4" w:space="0"/>
            </w:tcBorders>
          </w:tcPr>
          <w:p w14:paraId="6482C6BA">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33EB42E8">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66FC78FC">
            <w:pPr>
              <w:wordWrap w:val="0"/>
              <w:spacing w:after="0" w:line="240" w:lineRule="auto"/>
              <w:jc w:val="center"/>
              <w:rPr>
                <w:rFonts w:ascii="Arial" w:hAnsi="Arial" w:cs="Arial"/>
                <w:kern w:val="2"/>
                <w:sz w:val="16"/>
                <w:szCs w:val="16"/>
              </w:rPr>
            </w:pPr>
          </w:p>
        </w:tc>
      </w:tr>
      <w:tr w14:paraId="279E8985">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E46DE63">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13</w:t>
            </w:r>
          </w:p>
        </w:tc>
        <w:tc>
          <w:tcPr>
            <w:tcW w:w="4646" w:type="dxa"/>
            <w:tcBorders>
              <w:top w:val="nil"/>
              <w:left w:val="nil"/>
              <w:bottom w:val="single" w:color="auto" w:sz="4" w:space="0"/>
              <w:right w:val="single" w:color="auto" w:sz="4" w:space="0"/>
            </w:tcBorders>
            <w:shd w:val="clear" w:color="auto" w:fill="auto"/>
            <w:noWrap/>
            <w:vAlign w:val="center"/>
          </w:tcPr>
          <w:p w14:paraId="0C8C4D3A">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TALA ARAMADA DE ESPUMA PARA IMOBILIZAÇÃO DE MEMBROS SUPERIORES E INFERIORES TAM G</w:t>
            </w:r>
          </w:p>
        </w:tc>
        <w:tc>
          <w:tcPr>
            <w:tcW w:w="734" w:type="dxa"/>
            <w:tcBorders>
              <w:top w:val="nil"/>
              <w:left w:val="nil"/>
              <w:bottom w:val="single" w:color="auto" w:sz="4" w:space="0"/>
              <w:right w:val="single" w:color="auto" w:sz="4" w:space="0"/>
            </w:tcBorders>
            <w:shd w:val="clear" w:color="auto" w:fill="auto"/>
            <w:noWrap/>
            <w:vAlign w:val="center"/>
          </w:tcPr>
          <w:p w14:paraId="79EC4139">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3FFEE1E2">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100</w:t>
            </w:r>
          </w:p>
        </w:tc>
        <w:tc>
          <w:tcPr>
            <w:tcW w:w="1350" w:type="dxa"/>
            <w:tcBorders>
              <w:top w:val="nil"/>
              <w:left w:val="single" w:color="auto" w:sz="4" w:space="0"/>
              <w:bottom w:val="single" w:color="auto" w:sz="4" w:space="0"/>
              <w:right w:val="single" w:color="auto" w:sz="4" w:space="0"/>
            </w:tcBorders>
          </w:tcPr>
          <w:p w14:paraId="71AE2D0E">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6C5A453B">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626B4F84">
            <w:pPr>
              <w:wordWrap w:val="0"/>
              <w:spacing w:after="0" w:line="240" w:lineRule="auto"/>
              <w:jc w:val="center"/>
              <w:rPr>
                <w:rFonts w:ascii="Arial" w:hAnsi="Arial" w:cs="Arial"/>
                <w:kern w:val="2"/>
                <w:sz w:val="16"/>
                <w:szCs w:val="16"/>
              </w:rPr>
            </w:pPr>
          </w:p>
        </w:tc>
      </w:tr>
      <w:tr w14:paraId="4031E466">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760BD16A">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14</w:t>
            </w:r>
          </w:p>
        </w:tc>
        <w:tc>
          <w:tcPr>
            <w:tcW w:w="4646" w:type="dxa"/>
            <w:tcBorders>
              <w:top w:val="nil"/>
              <w:left w:val="nil"/>
              <w:bottom w:val="single" w:color="auto" w:sz="4" w:space="0"/>
              <w:right w:val="single" w:color="auto" w:sz="4" w:space="0"/>
            </w:tcBorders>
            <w:shd w:val="clear" w:color="auto" w:fill="auto"/>
            <w:noWrap/>
            <w:vAlign w:val="center"/>
          </w:tcPr>
          <w:p w14:paraId="40647773">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VASELINA EM PASTA POTE DE 500 GRAMAS</w:t>
            </w:r>
          </w:p>
        </w:tc>
        <w:tc>
          <w:tcPr>
            <w:tcW w:w="734" w:type="dxa"/>
            <w:tcBorders>
              <w:top w:val="nil"/>
              <w:left w:val="nil"/>
              <w:bottom w:val="single" w:color="auto" w:sz="4" w:space="0"/>
              <w:right w:val="single" w:color="auto" w:sz="4" w:space="0"/>
            </w:tcBorders>
            <w:shd w:val="clear" w:color="auto" w:fill="auto"/>
            <w:noWrap/>
            <w:vAlign w:val="center"/>
          </w:tcPr>
          <w:p w14:paraId="40E51649">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PT</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5EAB6CBF">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300</w:t>
            </w:r>
          </w:p>
        </w:tc>
        <w:tc>
          <w:tcPr>
            <w:tcW w:w="1350" w:type="dxa"/>
            <w:tcBorders>
              <w:top w:val="nil"/>
              <w:left w:val="single" w:color="auto" w:sz="4" w:space="0"/>
              <w:bottom w:val="single" w:color="auto" w:sz="4" w:space="0"/>
              <w:right w:val="single" w:color="auto" w:sz="4" w:space="0"/>
            </w:tcBorders>
          </w:tcPr>
          <w:p w14:paraId="0EC94013">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769D5A6A">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26629E64">
            <w:pPr>
              <w:wordWrap w:val="0"/>
              <w:spacing w:after="0" w:line="240" w:lineRule="auto"/>
              <w:jc w:val="center"/>
              <w:rPr>
                <w:rFonts w:ascii="Arial" w:hAnsi="Arial" w:cs="Arial"/>
                <w:kern w:val="2"/>
                <w:sz w:val="16"/>
                <w:szCs w:val="16"/>
              </w:rPr>
            </w:pPr>
          </w:p>
        </w:tc>
      </w:tr>
      <w:tr w14:paraId="1BC208E6">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48F98E1C">
            <w:pPr>
              <w:spacing w:line="240" w:lineRule="auto"/>
              <w:jc w:val="center"/>
              <w:rPr>
                <w:rFonts w:ascii="Arial" w:hAnsi="Arial" w:cs="Arial"/>
                <w:kern w:val="2"/>
                <w:sz w:val="16"/>
                <w:szCs w:val="16"/>
              </w:rPr>
            </w:pPr>
          </w:p>
        </w:tc>
        <w:tc>
          <w:tcPr>
            <w:tcW w:w="4646" w:type="dxa"/>
            <w:tcBorders>
              <w:top w:val="single" w:color="auto" w:sz="4" w:space="0"/>
              <w:left w:val="nil"/>
              <w:bottom w:val="single" w:color="auto" w:sz="4" w:space="0"/>
              <w:right w:val="single" w:color="auto" w:sz="4" w:space="0"/>
            </w:tcBorders>
            <w:shd w:val="clear" w:color="auto" w:fill="auto"/>
            <w:noWrap/>
            <w:vAlign w:val="center"/>
          </w:tcPr>
          <w:p w14:paraId="59A92209">
            <w:pPr>
              <w:autoSpaceDE w:val="0"/>
              <w:autoSpaceDN w:val="0"/>
              <w:adjustRightInd w:val="0"/>
              <w:spacing w:after="0" w:line="240" w:lineRule="auto"/>
              <w:jc w:val="both"/>
              <w:rPr>
                <w:rFonts w:hint="default" w:ascii="Arial" w:hAnsi="Arial" w:eastAsia="Arial"/>
                <w:b w:val="0"/>
                <w:bCs w:val="0"/>
                <w:sz w:val="16"/>
                <w:szCs w:val="16"/>
                <w:rtl w:val="0"/>
              </w:rPr>
            </w:pPr>
          </w:p>
        </w:tc>
        <w:tc>
          <w:tcPr>
            <w:tcW w:w="734" w:type="dxa"/>
            <w:tcBorders>
              <w:top w:val="single" w:color="auto" w:sz="4" w:space="0"/>
              <w:left w:val="nil"/>
              <w:bottom w:val="single" w:color="auto" w:sz="4" w:space="0"/>
              <w:right w:val="single" w:color="auto" w:sz="4" w:space="0"/>
            </w:tcBorders>
            <w:shd w:val="clear" w:color="auto" w:fill="auto"/>
            <w:noWrap/>
            <w:vAlign w:val="center"/>
          </w:tcPr>
          <w:p w14:paraId="185EBB8C">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9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FF25F1">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1350" w:type="dxa"/>
            <w:tcBorders>
              <w:top w:val="single" w:color="auto" w:sz="4" w:space="0"/>
              <w:left w:val="single" w:color="auto" w:sz="4" w:space="0"/>
              <w:bottom w:val="single" w:color="auto" w:sz="4" w:space="0"/>
              <w:right w:val="single" w:color="auto" w:sz="4" w:space="0"/>
            </w:tcBorders>
          </w:tcPr>
          <w:p w14:paraId="1A8CB3AE">
            <w:pPr>
              <w:wordWrap w:val="0"/>
              <w:spacing w:after="0" w:line="240" w:lineRule="auto"/>
              <w:jc w:val="center"/>
              <w:rPr>
                <w:rFonts w:hint="default" w:ascii="Arial" w:hAnsi="Arial" w:cs="Arial"/>
                <w:kern w:val="2"/>
                <w:sz w:val="16"/>
                <w:szCs w:val="16"/>
                <w:lang w:val="pt-BR"/>
              </w:rPr>
            </w:pPr>
          </w:p>
        </w:tc>
        <w:tc>
          <w:tcPr>
            <w:tcW w:w="1350" w:type="dxa"/>
            <w:tcBorders>
              <w:top w:val="single" w:color="auto" w:sz="4" w:space="0"/>
              <w:left w:val="single" w:color="auto" w:sz="4" w:space="0"/>
              <w:bottom w:val="single" w:color="auto" w:sz="4" w:space="0"/>
              <w:right w:val="single" w:color="auto" w:sz="4" w:space="0"/>
            </w:tcBorders>
          </w:tcPr>
          <w:p w14:paraId="31690CE5">
            <w:pPr>
              <w:wordWrap w:val="0"/>
              <w:spacing w:after="0" w:line="240" w:lineRule="auto"/>
              <w:jc w:val="center"/>
              <w:rPr>
                <w:rFonts w:hint="default" w:ascii="Arial" w:hAnsi="Arial" w:cs="Arial"/>
                <w:kern w:val="2"/>
                <w:sz w:val="16"/>
                <w:szCs w:val="16"/>
                <w:lang w:val="pt-BR"/>
              </w:rPr>
            </w:pPr>
            <w:r>
              <w:rPr>
                <w:rFonts w:hint="default" w:ascii="Arial" w:hAnsi="Arial" w:cs="Arial"/>
                <w:kern w:val="2"/>
                <w:sz w:val="16"/>
                <w:szCs w:val="16"/>
                <w:lang w:val="pt-BR"/>
              </w:rPr>
              <w:t>TOTAL</w:t>
            </w:r>
          </w:p>
        </w:tc>
        <w:tc>
          <w:tcPr>
            <w:tcW w:w="1155" w:type="dxa"/>
            <w:tcBorders>
              <w:top w:val="single" w:color="auto" w:sz="4" w:space="0"/>
              <w:left w:val="single" w:color="auto" w:sz="4" w:space="0"/>
              <w:bottom w:val="single" w:color="auto" w:sz="4" w:space="0"/>
              <w:right w:val="single" w:color="auto" w:sz="4" w:space="0"/>
            </w:tcBorders>
          </w:tcPr>
          <w:p w14:paraId="2DED7887">
            <w:pPr>
              <w:wordWrap w:val="0"/>
              <w:spacing w:after="0" w:line="240" w:lineRule="auto"/>
              <w:jc w:val="center"/>
              <w:rPr>
                <w:rFonts w:ascii="Arial" w:hAnsi="Arial" w:cs="Arial"/>
                <w:kern w:val="2"/>
                <w:sz w:val="16"/>
                <w:szCs w:val="16"/>
              </w:rPr>
            </w:pPr>
          </w:p>
        </w:tc>
      </w:tr>
    </w:tbl>
    <w:p w14:paraId="1985C56E">
      <w:pPr>
        <w:spacing w:line="276" w:lineRule="auto"/>
        <w:rPr>
          <w:rFonts w:hint="default" w:ascii="Arial" w:hAnsi="Arial" w:cs="Arial"/>
          <w:sz w:val="18"/>
          <w:szCs w:val="18"/>
          <w:lang w:val="pt-BR"/>
        </w:rPr>
      </w:pPr>
    </w:p>
    <w:p w14:paraId="66B4B9D1">
      <w:pPr>
        <w:spacing w:line="276" w:lineRule="auto"/>
        <w:rPr>
          <w:rFonts w:hint="default" w:ascii="Arial" w:hAnsi="Arial" w:cs="Arial"/>
          <w:sz w:val="18"/>
          <w:szCs w:val="18"/>
          <w:lang w:val="pt-BR"/>
        </w:rPr>
      </w:pPr>
    </w:p>
    <w:p w14:paraId="6160CE4F">
      <w:pPr>
        <w:spacing w:line="276" w:lineRule="auto"/>
        <w:ind w:left="-142"/>
        <w:rPr>
          <w:rFonts w:ascii="Arial" w:hAnsi="Arial" w:cs="Arial"/>
          <w:sz w:val="18"/>
          <w:szCs w:val="18"/>
        </w:rPr>
      </w:pPr>
      <w:r>
        <w:rPr>
          <w:rFonts w:ascii="Arial" w:hAnsi="Arial" w:cs="Arial"/>
          <w:sz w:val="18"/>
          <w:szCs w:val="18"/>
        </w:rPr>
        <w:t>Declaramos para os devidos fins e sob as penas da lei que:</w:t>
      </w:r>
    </w:p>
    <w:p w14:paraId="110E0F48">
      <w:pPr>
        <w:spacing w:line="276" w:lineRule="auto"/>
        <w:ind w:left="-142"/>
        <w:rPr>
          <w:rFonts w:ascii="Arial" w:hAnsi="Arial" w:cs="Arial"/>
          <w:sz w:val="18"/>
          <w:szCs w:val="18"/>
        </w:rPr>
      </w:pPr>
      <w:r>
        <w:rPr>
          <w:rFonts w:ascii="Arial" w:hAnsi="Arial" w:cs="Arial"/>
          <w:sz w:val="18"/>
          <w:szCs w:val="18"/>
          <w:lang w:val="pt-PT"/>
        </w:rPr>
        <w:t>1- Estão incluídas, nos preços cotados, todas as despesas, de qualquer natureza, incidentes sobre o cumprimento do objeto deste Pregão.</w:t>
      </w:r>
    </w:p>
    <w:p w14:paraId="7EE8327A">
      <w:pPr>
        <w:spacing w:line="276" w:lineRule="auto"/>
        <w:ind w:left="-142"/>
        <w:rPr>
          <w:rFonts w:ascii="Arial" w:hAnsi="Arial" w:cs="Arial"/>
          <w:sz w:val="18"/>
          <w:szCs w:val="18"/>
        </w:rPr>
      </w:pPr>
      <w:r>
        <w:rPr>
          <w:rFonts w:ascii="Arial" w:hAnsi="Arial" w:cs="Arial"/>
          <w:sz w:val="18"/>
          <w:szCs w:val="18"/>
          <w:lang w:val="pt-PT"/>
        </w:rPr>
        <w:t>2- Será cumprido o fornecimento de acordo com a especificação da proposta e com o edital, a partir da assinatura do contrato.</w:t>
      </w:r>
    </w:p>
    <w:p w14:paraId="4B49ECBA">
      <w:pPr>
        <w:spacing w:line="276" w:lineRule="auto"/>
        <w:ind w:left="-142"/>
        <w:rPr>
          <w:rFonts w:hint="default" w:ascii="Arial" w:hAnsi="Arial" w:cs="Arial"/>
          <w:sz w:val="18"/>
          <w:szCs w:val="18"/>
          <w:lang w:val="pt-BR"/>
        </w:rPr>
      </w:pPr>
      <w:r>
        <w:rPr>
          <w:rFonts w:ascii="Arial" w:hAnsi="Arial" w:cs="Arial"/>
          <w:sz w:val="18"/>
          <w:szCs w:val="18"/>
          <w:lang w:val="pt-PT"/>
        </w:rPr>
        <w:t xml:space="preserve">3- Esta proposta tem validade de </w:t>
      </w:r>
      <w:r>
        <w:rPr>
          <w:rFonts w:hint="default" w:ascii="Arial" w:hAnsi="Arial" w:cs="Arial"/>
          <w:sz w:val="18"/>
          <w:szCs w:val="18"/>
          <w:lang w:val="pt-BR"/>
        </w:rPr>
        <w:t>_______</w:t>
      </w:r>
      <w:r>
        <w:rPr>
          <w:rFonts w:ascii="Arial" w:hAnsi="Arial" w:cs="Arial"/>
          <w:sz w:val="18"/>
          <w:szCs w:val="18"/>
          <w:lang w:val="pt-PT"/>
        </w:rPr>
        <w:t>dias</w:t>
      </w:r>
      <w:r>
        <w:rPr>
          <w:rFonts w:hint="default" w:ascii="Arial" w:hAnsi="Arial" w:cs="Arial"/>
          <w:sz w:val="18"/>
          <w:szCs w:val="18"/>
          <w:lang w:val="pt-BR"/>
        </w:rPr>
        <w:t>. (mínimo de 60 dias)</w:t>
      </w:r>
    </w:p>
    <w:p w14:paraId="7B47F32B">
      <w:pPr>
        <w:spacing w:line="276" w:lineRule="auto"/>
        <w:ind w:left="-142"/>
        <w:rPr>
          <w:rFonts w:ascii="Arial" w:hAnsi="Arial" w:cs="Arial"/>
          <w:sz w:val="20"/>
          <w:szCs w:val="20"/>
          <w:lang w:val="pt-PT"/>
        </w:rPr>
      </w:pPr>
    </w:p>
    <w:p w14:paraId="331B26D4">
      <w:pPr>
        <w:spacing w:line="276" w:lineRule="auto"/>
        <w:ind w:left="-142"/>
        <w:rPr>
          <w:rFonts w:ascii="Arial" w:hAnsi="Arial" w:cs="Arial"/>
          <w:sz w:val="20"/>
          <w:szCs w:val="20"/>
          <w:lang w:val="pt-PT"/>
        </w:rPr>
      </w:pPr>
    </w:p>
    <w:p w14:paraId="57C657A5">
      <w:pPr>
        <w:tabs>
          <w:tab w:val="left" w:pos="567"/>
          <w:tab w:val="left" w:pos="1134"/>
          <w:tab w:val="left" w:pos="1418"/>
          <w:tab w:val="left" w:pos="2410"/>
          <w:tab w:val="left" w:pos="2552"/>
        </w:tabs>
        <w:spacing w:line="276" w:lineRule="auto"/>
        <w:ind w:left="425" w:firstLine="567"/>
        <w:jc w:val="center"/>
        <w:rPr>
          <w:rFonts w:hint="default" w:ascii="Arial" w:hAnsi="Arial" w:cs="Arial"/>
          <w:sz w:val="20"/>
          <w:szCs w:val="20"/>
          <w:lang w:val="pt-BR"/>
        </w:rPr>
      </w:pPr>
      <w:r>
        <w:rPr>
          <w:rFonts w:hint="default" w:ascii="Arial" w:hAnsi="Arial" w:cs="Arial"/>
          <w:b/>
          <w:bCs/>
          <w:sz w:val="20"/>
          <w:szCs w:val="20"/>
          <w:lang w:val="pt-BR"/>
        </w:rPr>
        <w:t xml:space="preserve"> </w:t>
      </w:r>
      <w:r>
        <w:rPr>
          <w:rFonts w:ascii="Arial" w:hAnsi="Arial" w:cs="Arial"/>
          <w:b/>
          <w:bCs/>
          <w:sz w:val="20"/>
          <w:szCs w:val="20"/>
          <w:lang w:val="pt-PT"/>
        </w:rPr>
        <w:t xml:space="preserve">_____________________, _____ de _____________ de </w:t>
      </w:r>
      <w:r>
        <w:rPr>
          <w:rFonts w:ascii="Arial" w:hAnsi="Arial" w:cs="Arial"/>
          <w:b/>
          <w:bCs/>
          <w:sz w:val="20"/>
          <w:szCs w:val="20"/>
          <w:lang w:val="pt-BR"/>
        </w:rPr>
        <w:t>202</w:t>
      </w:r>
      <w:r>
        <w:rPr>
          <w:rFonts w:hint="default" w:ascii="Arial" w:hAnsi="Arial" w:cs="Arial"/>
          <w:b/>
          <w:bCs/>
          <w:sz w:val="20"/>
          <w:szCs w:val="20"/>
          <w:lang w:val="pt-BR"/>
        </w:rPr>
        <w:t>6</w:t>
      </w:r>
    </w:p>
    <w:p w14:paraId="327405B2">
      <w:pPr>
        <w:spacing w:line="276" w:lineRule="auto"/>
        <w:ind w:firstLine="567"/>
        <w:jc w:val="center"/>
        <w:rPr>
          <w:rFonts w:ascii="Arial" w:hAnsi="Arial" w:cs="Arial"/>
          <w:b/>
          <w:bCs/>
          <w:sz w:val="20"/>
          <w:szCs w:val="20"/>
        </w:rPr>
      </w:pPr>
      <w:r>
        <w:rPr>
          <w:rFonts w:ascii="Arial" w:hAnsi="Arial" w:cs="Arial"/>
          <w:b/>
          <w:bCs/>
          <w:sz w:val="20"/>
          <w:szCs w:val="20"/>
        </w:rPr>
        <w:t>(Cidade e data)</w:t>
      </w:r>
    </w:p>
    <w:p w14:paraId="3A53C07D">
      <w:pPr>
        <w:spacing w:line="276" w:lineRule="auto"/>
        <w:ind w:firstLine="567"/>
        <w:jc w:val="center"/>
        <w:rPr>
          <w:rFonts w:ascii="Arial" w:hAnsi="Arial" w:cs="Arial"/>
          <w:b/>
          <w:bCs/>
          <w:sz w:val="20"/>
          <w:szCs w:val="20"/>
        </w:rPr>
      </w:pPr>
    </w:p>
    <w:p w14:paraId="6B053382">
      <w:pPr>
        <w:spacing w:line="276" w:lineRule="auto"/>
        <w:ind w:firstLine="567"/>
        <w:jc w:val="center"/>
        <w:rPr>
          <w:rFonts w:ascii="Arial" w:hAnsi="Arial" w:cs="Arial"/>
          <w:sz w:val="20"/>
          <w:szCs w:val="20"/>
        </w:rPr>
      </w:pPr>
      <w:r>
        <w:rPr>
          <w:rFonts w:ascii="Arial" w:hAnsi="Arial" w:cs="Arial"/>
          <w:b/>
          <w:bCs/>
          <w:sz w:val="20"/>
          <w:szCs w:val="20"/>
        </w:rPr>
        <w:t>_____________________________________________</w:t>
      </w:r>
    </w:p>
    <w:p w14:paraId="510D486B">
      <w:pPr>
        <w:spacing w:line="276" w:lineRule="auto"/>
        <w:ind w:firstLine="567"/>
        <w:jc w:val="center"/>
        <w:rPr>
          <w:rFonts w:ascii="Arial" w:hAnsi="Arial" w:cs="Arial"/>
          <w:b/>
          <w:bCs/>
          <w:sz w:val="32"/>
          <w:szCs w:val="32"/>
        </w:rPr>
      </w:pPr>
      <w:r>
        <w:rPr>
          <w:rFonts w:ascii="Arial" w:hAnsi="Arial" w:cs="Arial"/>
          <w:b/>
          <w:bCs/>
          <w:sz w:val="20"/>
          <w:szCs w:val="20"/>
        </w:rPr>
        <w:t>(representante legal</w:t>
      </w:r>
      <w:r>
        <w:rPr>
          <w:rFonts w:hint="default" w:ascii="Arial" w:hAnsi="Arial" w:cs="Arial"/>
          <w:b/>
          <w:bCs/>
          <w:sz w:val="20"/>
          <w:szCs w:val="20"/>
          <w:lang w:val="pt-BR"/>
        </w:rPr>
        <w:t>)</w:t>
      </w:r>
    </w:p>
    <w:p w14:paraId="03BAD544">
      <w:pPr>
        <w:rPr>
          <w:rFonts w:ascii="Arial" w:hAnsi="Arial" w:cs="Arial"/>
          <w:b/>
          <w:bCs/>
          <w:sz w:val="32"/>
          <w:szCs w:val="32"/>
        </w:rPr>
      </w:pPr>
      <w:r>
        <w:rPr>
          <w:rFonts w:ascii="Arial" w:hAnsi="Arial" w:cs="Arial"/>
          <w:b/>
          <w:bCs/>
          <w:sz w:val="32"/>
          <w:szCs w:val="32"/>
        </w:rPr>
        <w:br w:type="page"/>
      </w:r>
    </w:p>
    <w:p w14:paraId="1889D0D1">
      <w:pPr>
        <w:jc w:val="center"/>
        <w:rPr>
          <w:rFonts w:ascii="Arial" w:hAnsi="Arial" w:cs="Arial"/>
          <w:b/>
          <w:bCs/>
          <w:sz w:val="32"/>
          <w:szCs w:val="32"/>
        </w:rPr>
      </w:pPr>
      <w:r>
        <w:rPr>
          <w:rFonts w:ascii="Arial" w:hAnsi="Arial" w:cs="Arial"/>
          <w:b/>
          <w:bCs/>
          <w:sz w:val="32"/>
          <w:szCs w:val="32"/>
        </w:rPr>
        <w:t>ANEXO III</w:t>
      </w:r>
    </w:p>
    <w:p w14:paraId="0C2EEF5B">
      <w:pPr>
        <w:jc w:val="center"/>
        <w:rPr>
          <w:rFonts w:hint="default" w:ascii="Arial" w:hAnsi="Arial" w:cs="Arial"/>
          <w:b/>
          <w:bCs/>
          <w:sz w:val="18"/>
          <w:szCs w:val="18"/>
        </w:rPr>
      </w:pPr>
    </w:p>
    <w:p w14:paraId="79C1518C">
      <w:pPr>
        <w:spacing w:line="240" w:lineRule="auto"/>
        <w:jc w:val="center"/>
        <w:rPr>
          <w:rFonts w:hint="default" w:ascii="Arial" w:hAnsi="Arial" w:cs="Arial"/>
          <w:b/>
          <w:bCs/>
          <w:sz w:val="17"/>
          <w:szCs w:val="17"/>
        </w:rPr>
      </w:pPr>
      <w:r>
        <w:rPr>
          <w:rFonts w:hint="default" w:ascii="Arial" w:hAnsi="Arial" w:cs="Arial"/>
          <w:b/>
          <w:bCs/>
          <w:sz w:val="17"/>
          <w:szCs w:val="17"/>
        </w:rPr>
        <w:t>MINUTA DA ATA DE REGISTRO DE PREÇOS</w:t>
      </w:r>
    </w:p>
    <w:p w14:paraId="583AF467">
      <w:pPr>
        <w:spacing w:line="240" w:lineRule="auto"/>
        <w:jc w:val="both"/>
        <w:rPr>
          <w:rFonts w:hint="default" w:ascii="Arial" w:hAnsi="Arial" w:cs="Arial"/>
          <w:b/>
          <w:bCs/>
          <w:sz w:val="17"/>
          <w:szCs w:val="17"/>
        </w:rPr>
      </w:pPr>
    </w:p>
    <w:p w14:paraId="1F32F308">
      <w:pPr>
        <w:widowControl w:val="0"/>
        <w:tabs>
          <w:tab w:val="center" w:pos="4779"/>
          <w:tab w:val="right" w:pos="9198"/>
        </w:tabs>
        <w:autoSpaceDE w:val="0"/>
        <w:autoSpaceDN w:val="0"/>
        <w:adjustRightInd w:val="0"/>
        <w:spacing w:before="120" w:after="120" w:line="240" w:lineRule="auto"/>
        <w:ind w:right="-28"/>
        <w:jc w:val="both"/>
        <w:rPr>
          <w:rFonts w:hint="default" w:ascii="Arial" w:hAnsi="Arial" w:cs="Arial"/>
          <w:sz w:val="17"/>
          <w:szCs w:val="17"/>
        </w:rPr>
      </w:pPr>
      <w:r>
        <w:rPr>
          <w:rFonts w:hint="default" w:ascii="Arial" w:hAnsi="Arial" w:cs="Arial"/>
          <w:b/>
          <w:sz w:val="17"/>
          <w:szCs w:val="17"/>
        </w:rPr>
        <w:t>MUNICIPIO DE CATAGUASES</w:t>
      </w:r>
      <w:r>
        <w:rPr>
          <w:rFonts w:hint="default" w:ascii="Arial" w:hAnsi="Arial" w:cs="Arial"/>
          <w:sz w:val="17"/>
          <w:szCs w:val="17"/>
        </w:rPr>
        <w:t xml:space="preserve">, Estado de Minas Gerais, com sede à Praça Santa Rita, 462 – Centro, Cataguases (MG), CNPJ/MF 17.702.499/0001-81, sendo o Órgão Gerenciador, representada neste ato pelo Exmo. Sr. Prefeito Municipal, José Henriques, tendo como Agentes de Contratação, denominados pregoeiros, designados pela Portaria 625/2023, o Sr. Neimar Garcia de Oliveira e  Sra. Janete Aparecida Garcia e Equipe de Apoio ao Pregão, considerando o julgamento da licitação na modalidade de pregão, na forma eletrônica, para Registro de Preços nº </w:t>
      </w:r>
      <w:r>
        <w:rPr>
          <w:rFonts w:hint="default" w:ascii="Arial" w:hAnsi="Arial" w:cs="Arial"/>
          <w:sz w:val="17"/>
          <w:szCs w:val="17"/>
          <w:lang w:val="pt-BR"/>
        </w:rPr>
        <w:t>004/2026</w:t>
      </w:r>
      <w:r>
        <w:rPr>
          <w:rFonts w:hint="default" w:ascii="Arial" w:hAnsi="Arial" w:cs="Arial"/>
          <w:sz w:val="17"/>
          <w:szCs w:val="17"/>
        </w:rPr>
        <w:t xml:space="preserve">, Processo Administrativo n.º </w:t>
      </w:r>
      <w:r>
        <w:rPr>
          <w:rFonts w:hint="default" w:ascii="Arial" w:hAnsi="Arial" w:cs="Arial"/>
          <w:sz w:val="17"/>
          <w:szCs w:val="17"/>
          <w:lang w:val="pt-BR"/>
        </w:rPr>
        <w:t>010/2026</w:t>
      </w:r>
      <w:r>
        <w:rPr>
          <w:rFonts w:hint="default" w:ascii="Arial" w:hAnsi="Arial" w:cs="Arial"/>
          <w:sz w:val="17"/>
          <w:szCs w:val="17"/>
        </w:rPr>
        <w:t xml:space="preserve">, Pregão Eletrônico n° </w:t>
      </w:r>
      <w:r>
        <w:rPr>
          <w:rFonts w:hint="default" w:ascii="Arial" w:hAnsi="Arial" w:cs="Arial"/>
          <w:sz w:val="17"/>
          <w:szCs w:val="17"/>
          <w:lang w:val="pt-BR"/>
        </w:rPr>
        <w:t>004/2026</w:t>
      </w:r>
      <w:r>
        <w:rPr>
          <w:rFonts w:hint="default" w:ascii="Arial" w:hAnsi="Arial" w:cs="Arial"/>
          <w:sz w:val="17"/>
          <w:szCs w:val="17"/>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Lei Municipal n° 4.946 de 2023, Decreto Municipal n° 5.805 de 2023, Lei 13.709 de 14 de agosto de 2018 (LGPD - Lei Geral de Proteção de Dados) e Lei 12.846 de 1º de agosto de 2013 (Lei Anticorrupção), e em conformidade com as disposições a seguir:</w:t>
      </w:r>
    </w:p>
    <w:p w14:paraId="20323ECA">
      <w:pPr>
        <w:spacing w:line="240" w:lineRule="auto"/>
        <w:jc w:val="both"/>
        <w:rPr>
          <w:rFonts w:hint="default" w:ascii="Arial" w:hAnsi="Arial" w:cs="Arial"/>
          <w:bCs/>
          <w:sz w:val="17"/>
          <w:szCs w:val="17"/>
        </w:rPr>
      </w:pPr>
      <w:r>
        <w:rPr>
          <w:rFonts w:hint="default" w:ascii="Arial" w:hAnsi="Arial" w:cs="Arial"/>
          <w:bCs/>
          <w:sz w:val="17"/>
          <w:szCs w:val="17"/>
        </w:rPr>
        <w:t>Consideram-se registrados os seguintes preços da Detentora da Ata: _____________________, CNPJ nº _______________, representado pelo Sr. ____________ (qualificação):</w:t>
      </w:r>
    </w:p>
    <w:p w14:paraId="5C3BEEEE">
      <w:pPr>
        <w:spacing w:line="240" w:lineRule="auto"/>
        <w:jc w:val="both"/>
        <w:rPr>
          <w:rFonts w:hint="default" w:ascii="Arial" w:hAnsi="Arial" w:cs="Arial"/>
          <w:bCs/>
          <w:sz w:val="17"/>
          <w:szCs w:val="17"/>
        </w:rPr>
      </w:pPr>
    </w:p>
    <w:p w14:paraId="6ED27634">
      <w:pPr>
        <w:spacing w:line="240" w:lineRule="auto"/>
        <w:jc w:val="both"/>
        <w:rPr>
          <w:rFonts w:hint="default" w:ascii="Arial" w:hAnsi="Arial" w:cs="Arial"/>
          <w:b/>
          <w:bCs/>
          <w:sz w:val="17"/>
          <w:szCs w:val="17"/>
        </w:rPr>
      </w:pPr>
      <w:r>
        <w:rPr>
          <w:rFonts w:hint="default" w:ascii="Arial" w:hAnsi="Arial" w:cs="Arial"/>
          <w:b/>
          <w:bCs/>
          <w:sz w:val="17"/>
          <w:szCs w:val="17"/>
        </w:rPr>
        <w:t>CLÁUSULA PRIMEIRA – DO OBJETO:</w:t>
      </w:r>
    </w:p>
    <w:p w14:paraId="1A491D9A">
      <w:pPr>
        <w:pStyle w:val="220"/>
        <w:numPr>
          <w:ilvl w:val="1"/>
          <w:numId w:val="24"/>
        </w:numPr>
        <w:tabs>
          <w:tab w:val="left" w:pos="426"/>
        </w:tabs>
        <w:spacing w:line="240" w:lineRule="auto"/>
        <w:ind w:left="0" w:firstLine="0"/>
        <w:jc w:val="both"/>
        <w:rPr>
          <w:rFonts w:hint="default" w:ascii="Arial" w:hAnsi="Arial" w:cs="Arial"/>
          <w:b w:val="0"/>
          <w:bCs w:val="0"/>
          <w:sz w:val="17"/>
          <w:szCs w:val="17"/>
        </w:rPr>
      </w:pPr>
      <w:r>
        <w:rPr>
          <w:rFonts w:hint="default" w:ascii="Arial" w:hAnsi="Arial" w:cs="Arial"/>
          <w:sz w:val="17"/>
          <w:szCs w:val="17"/>
        </w:rPr>
        <w:t>Registr</w:t>
      </w:r>
      <w:r>
        <w:rPr>
          <w:rFonts w:hint="default" w:ascii="Arial" w:hAnsi="Arial" w:cs="Arial"/>
          <w:b w:val="0"/>
          <w:bCs w:val="0"/>
          <w:sz w:val="17"/>
          <w:szCs w:val="17"/>
        </w:rPr>
        <w:t xml:space="preserve">ar </w:t>
      </w:r>
      <w:r>
        <w:rPr>
          <w:rFonts w:ascii="Arial" w:hAnsi="Arial" w:cs="Arial"/>
          <w:color w:val="000000"/>
          <w:sz w:val="17"/>
          <w:szCs w:val="17"/>
        </w:rPr>
        <w:t xml:space="preserve">preços para futura e eventual contratação de </w:t>
      </w:r>
      <w:r>
        <w:rPr>
          <w:rFonts w:hint="default" w:ascii="Arial" w:hAnsi="Arial"/>
          <w:color w:val="000000"/>
          <w:sz w:val="17"/>
          <w:szCs w:val="17"/>
        </w:rPr>
        <w:t>Registrar preços para futura e eventual contratação de empresa especializada no fornecimento de materiais destinados a procedimentos médicos e hospitalares, a fim de atender às necessidades dos diversos setores da Secretaria de Saúde da Prefeitura Municipal de Cataguases-MG</w:t>
      </w:r>
      <w:r>
        <w:rPr>
          <w:rFonts w:hint="default" w:ascii="Arial" w:hAnsi="Arial" w:cs="Arial"/>
          <w:b w:val="0"/>
          <w:bCs w:val="0"/>
          <w:sz w:val="17"/>
          <w:szCs w:val="17"/>
        </w:rPr>
        <w:t>, a saber:</w:t>
      </w:r>
    </w:p>
    <w:tbl>
      <w:tblPr>
        <w:tblStyle w:val="4"/>
        <w:tblpPr w:leftFromText="180" w:rightFromText="180" w:vertAnchor="text" w:horzAnchor="page" w:tblpXSpec="center" w:tblpY="249"/>
        <w:tblOverlap w:val="never"/>
        <w:tblW w:w="10737" w:type="dxa"/>
        <w:jc w:val="center"/>
        <w:tblLayout w:type="fixed"/>
        <w:tblCellMar>
          <w:top w:w="0" w:type="dxa"/>
          <w:left w:w="70" w:type="dxa"/>
          <w:bottom w:w="0" w:type="dxa"/>
          <w:right w:w="70" w:type="dxa"/>
        </w:tblCellMar>
      </w:tblPr>
      <w:tblGrid>
        <w:gridCol w:w="541"/>
        <w:gridCol w:w="4646"/>
        <w:gridCol w:w="734"/>
        <w:gridCol w:w="961"/>
        <w:gridCol w:w="1350"/>
        <w:gridCol w:w="1350"/>
        <w:gridCol w:w="1155"/>
      </w:tblGrid>
      <w:tr w14:paraId="0D08ECC8">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7B644EE9">
            <w:pPr>
              <w:spacing w:after="0" w:line="240" w:lineRule="auto"/>
              <w:jc w:val="center"/>
              <w:rPr>
                <w:rFonts w:ascii="Arial" w:hAnsi="Arial" w:cs="Arial"/>
                <w:b/>
                <w:bCs/>
                <w:kern w:val="2"/>
                <w:sz w:val="16"/>
                <w:szCs w:val="16"/>
              </w:rPr>
            </w:pPr>
            <w:r>
              <w:rPr>
                <w:rFonts w:ascii="Arial" w:hAnsi="Arial" w:cs="Arial"/>
                <w:b/>
                <w:bCs/>
                <w:kern w:val="2"/>
                <w:sz w:val="16"/>
                <w:szCs w:val="16"/>
              </w:rPr>
              <w:t>Item</w:t>
            </w:r>
          </w:p>
        </w:tc>
        <w:tc>
          <w:tcPr>
            <w:tcW w:w="4646" w:type="dxa"/>
            <w:tcBorders>
              <w:top w:val="single" w:color="auto" w:sz="4" w:space="0"/>
              <w:left w:val="nil"/>
              <w:bottom w:val="single" w:color="auto" w:sz="4" w:space="0"/>
              <w:right w:val="single" w:color="auto" w:sz="4" w:space="0"/>
            </w:tcBorders>
            <w:noWrap/>
            <w:vAlign w:val="center"/>
          </w:tcPr>
          <w:p w14:paraId="12D65037">
            <w:pPr>
              <w:spacing w:after="0" w:line="240" w:lineRule="auto"/>
              <w:jc w:val="center"/>
              <w:rPr>
                <w:rFonts w:ascii="Arial" w:hAnsi="Arial" w:cs="Arial"/>
                <w:b/>
                <w:bCs/>
                <w:kern w:val="2"/>
                <w:sz w:val="16"/>
                <w:szCs w:val="16"/>
              </w:rPr>
            </w:pPr>
            <w:r>
              <w:rPr>
                <w:rFonts w:ascii="Arial" w:hAnsi="Arial" w:cs="Arial"/>
                <w:b/>
                <w:bCs/>
                <w:kern w:val="2"/>
                <w:sz w:val="16"/>
                <w:szCs w:val="16"/>
              </w:rPr>
              <w:t>Descrição</w:t>
            </w:r>
          </w:p>
        </w:tc>
        <w:tc>
          <w:tcPr>
            <w:tcW w:w="734" w:type="dxa"/>
            <w:tcBorders>
              <w:top w:val="single" w:color="auto" w:sz="4" w:space="0"/>
              <w:left w:val="nil"/>
              <w:bottom w:val="single" w:color="auto" w:sz="4" w:space="0"/>
              <w:right w:val="single" w:color="auto" w:sz="4" w:space="0"/>
            </w:tcBorders>
            <w:noWrap/>
            <w:vAlign w:val="center"/>
          </w:tcPr>
          <w:p w14:paraId="7D25FD08">
            <w:pPr>
              <w:spacing w:after="0" w:line="240" w:lineRule="auto"/>
              <w:jc w:val="center"/>
              <w:rPr>
                <w:rFonts w:ascii="Arial" w:hAnsi="Arial" w:cs="Arial"/>
                <w:b/>
                <w:bCs/>
                <w:kern w:val="2"/>
                <w:sz w:val="16"/>
                <w:szCs w:val="16"/>
              </w:rPr>
            </w:pPr>
            <w:r>
              <w:rPr>
                <w:rFonts w:ascii="Arial" w:hAnsi="Arial" w:cs="Arial"/>
                <w:b/>
                <w:bCs/>
                <w:kern w:val="2"/>
                <w:sz w:val="16"/>
                <w:szCs w:val="16"/>
              </w:rPr>
              <w:t>Und</w:t>
            </w:r>
          </w:p>
        </w:tc>
        <w:tc>
          <w:tcPr>
            <w:tcW w:w="961" w:type="dxa"/>
            <w:tcBorders>
              <w:top w:val="single" w:color="auto" w:sz="4" w:space="0"/>
              <w:left w:val="single" w:color="auto" w:sz="4" w:space="0"/>
              <w:bottom w:val="single" w:color="auto" w:sz="4" w:space="0"/>
              <w:right w:val="single" w:color="auto" w:sz="4" w:space="0"/>
            </w:tcBorders>
            <w:noWrap/>
            <w:vAlign w:val="center"/>
          </w:tcPr>
          <w:p w14:paraId="21BF9229">
            <w:pPr>
              <w:spacing w:after="0" w:line="240" w:lineRule="auto"/>
              <w:jc w:val="center"/>
              <w:rPr>
                <w:rFonts w:ascii="Arial" w:hAnsi="Arial" w:cs="Arial"/>
                <w:b/>
                <w:bCs/>
                <w:kern w:val="2"/>
                <w:sz w:val="16"/>
                <w:szCs w:val="16"/>
              </w:rPr>
            </w:pPr>
            <w:r>
              <w:rPr>
                <w:rFonts w:ascii="Arial" w:hAnsi="Arial" w:cs="Arial"/>
                <w:b/>
                <w:bCs/>
                <w:kern w:val="2"/>
                <w:sz w:val="16"/>
                <w:szCs w:val="16"/>
              </w:rPr>
              <w:t>Qtd</w:t>
            </w:r>
          </w:p>
        </w:tc>
        <w:tc>
          <w:tcPr>
            <w:tcW w:w="1350" w:type="dxa"/>
            <w:tcBorders>
              <w:top w:val="single" w:color="auto" w:sz="4" w:space="0"/>
              <w:left w:val="single" w:color="auto" w:sz="4" w:space="0"/>
              <w:bottom w:val="single" w:color="auto" w:sz="4" w:space="0"/>
              <w:right w:val="single" w:color="auto" w:sz="4" w:space="0"/>
            </w:tcBorders>
          </w:tcPr>
          <w:p w14:paraId="67CCFA15">
            <w:pPr>
              <w:spacing w:after="0" w:line="240" w:lineRule="auto"/>
              <w:jc w:val="center"/>
              <w:rPr>
                <w:rFonts w:hint="default" w:ascii="Arial" w:hAnsi="Arial" w:cs="Arial"/>
                <w:b/>
                <w:bCs/>
                <w:kern w:val="2"/>
                <w:sz w:val="16"/>
                <w:szCs w:val="16"/>
                <w:lang w:val="pt-BR"/>
              </w:rPr>
            </w:pPr>
            <w:r>
              <w:rPr>
                <w:rFonts w:hint="default" w:ascii="Arial" w:hAnsi="Arial" w:cs="Arial"/>
                <w:b/>
                <w:bCs/>
                <w:kern w:val="2"/>
                <w:sz w:val="16"/>
                <w:szCs w:val="16"/>
                <w:lang w:val="pt-BR"/>
              </w:rPr>
              <w:t>Marca</w:t>
            </w:r>
          </w:p>
        </w:tc>
        <w:tc>
          <w:tcPr>
            <w:tcW w:w="1350" w:type="dxa"/>
            <w:tcBorders>
              <w:top w:val="single" w:color="auto" w:sz="4" w:space="0"/>
              <w:left w:val="single" w:color="auto" w:sz="4" w:space="0"/>
              <w:bottom w:val="single" w:color="auto" w:sz="4" w:space="0"/>
              <w:right w:val="single" w:color="auto" w:sz="4" w:space="0"/>
            </w:tcBorders>
          </w:tcPr>
          <w:p w14:paraId="485B6401">
            <w:pPr>
              <w:spacing w:after="0" w:line="240" w:lineRule="auto"/>
              <w:jc w:val="center"/>
              <w:rPr>
                <w:rFonts w:ascii="Arial" w:hAnsi="Arial" w:cs="Arial"/>
                <w:b/>
                <w:bCs/>
                <w:kern w:val="2"/>
                <w:sz w:val="16"/>
                <w:szCs w:val="16"/>
              </w:rPr>
            </w:pPr>
            <w:r>
              <w:rPr>
                <w:rFonts w:ascii="Arial" w:hAnsi="Arial" w:cs="Arial"/>
                <w:b/>
                <w:bCs/>
                <w:kern w:val="2"/>
                <w:sz w:val="16"/>
                <w:szCs w:val="16"/>
              </w:rPr>
              <w:t>Valor Unitário</w:t>
            </w:r>
          </w:p>
        </w:tc>
        <w:tc>
          <w:tcPr>
            <w:tcW w:w="1155" w:type="dxa"/>
            <w:tcBorders>
              <w:top w:val="single" w:color="auto" w:sz="4" w:space="0"/>
              <w:left w:val="single" w:color="auto" w:sz="4" w:space="0"/>
              <w:bottom w:val="single" w:color="auto" w:sz="4" w:space="0"/>
              <w:right w:val="single" w:color="auto" w:sz="4" w:space="0"/>
            </w:tcBorders>
          </w:tcPr>
          <w:p w14:paraId="3CD942D4">
            <w:pPr>
              <w:spacing w:after="0" w:line="240" w:lineRule="auto"/>
              <w:jc w:val="center"/>
              <w:rPr>
                <w:rFonts w:ascii="Arial" w:hAnsi="Arial" w:cs="Arial"/>
                <w:b/>
                <w:bCs/>
                <w:kern w:val="2"/>
                <w:sz w:val="16"/>
                <w:szCs w:val="16"/>
              </w:rPr>
            </w:pPr>
            <w:r>
              <w:rPr>
                <w:rFonts w:ascii="Arial" w:hAnsi="Arial" w:cs="Arial"/>
                <w:b/>
                <w:bCs/>
                <w:kern w:val="2"/>
                <w:sz w:val="16"/>
                <w:szCs w:val="16"/>
              </w:rPr>
              <w:t>Valor Total</w:t>
            </w:r>
          </w:p>
        </w:tc>
      </w:tr>
      <w:tr w14:paraId="28690CBB">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77D7FFE8">
            <w:pPr>
              <w:spacing w:line="240" w:lineRule="auto"/>
              <w:jc w:val="center"/>
              <w:rPr>
                <w:rFonts w:ascii="Arial" w:hAnsi="Arial" w:cs="Arial"/>
                <w:kern w:val="2"/>
                <w:sz w:val="16"/>
                <w:szCs w:val="16"/>
              </w:rPr>
            </w:pPr>
            <w:r>
              <w:rPr>
                <w:rFonts w:ascii="Arial" w:hAnsi="Arial" w:cs="Arial"/>
                <w:kern w:val="2"/>
                <w:sz w:val="16"/>
                <w:szCs w:val="16"/>
              </w:rPr>
              <w:t>1</w:t>
            </w:r>
          </w:p>
        </w:tc>
        <w:tc>
          <w:tcPr>
            <w:tcW w:w="4646" w:type="dxa"/>
            <w:tcBorders>
              <w:top w:val="nil"/>
              <w:left w:val="nil"/>
              <w:bottom w:val="single" w:color="auto" w:sz="4" w:space="0"/>
              <w:right w:val="single" w:color="auto" w:sz="4" w:space="0"/>
            </w:tcBorders>
            <w:shd w:val="clear" w:color="auto" w:fill="auto"/>
            <w:noWrap/>
            <w:vAlign w:val="center"/>
          </w:tcPr>
          <w:p w14:paraId="661DF1A3">
            <w:pPr>
              <w:autoSpaceDE w:val="0"/>
              <w:autoSpaceDN w:val="0"/>
              <w:adjustRightInd w:val="0"/>
              <w:spacing w:after="0" w:line="240" w:lineRule="auto"/>
              <w:jc w:val="both"/>
              <w:rPr>
                <w:rFonts w:hint="default" w:ascii="Arial" w:hAnsi="Arial" w:eastAsia="Arial" w:cs="Arial"/>
                <w:b w:val="0"/>
                <w:bCs w:val="0"/>
                <w:sz w:val="16"/>
                <w:szCs w:val="16"/>
                <w:rtl w:val="0"/>
                <w:lang w:val="pt-BR" w:eastAsia="en-US"/>
              </w:rPr>
            </w:pPr>
            <w:r>
              <w:rPr>
                <w:rFonts w:hint="default" w:ascii="Arial" w:hAnsi="Arial" w:eastAsia="Arial"/>
                <w:b w:val="0"/>
                <w:bCs w:val="0"/>
                <w:sz w:val="16"/>
                <w:szCs w:val="16"/>
                <w:rtl w:val="0"/>
                <w:lang w:val="pt-BR"/>
              </w:rPr>
              <w:t>BOTA DE UNNA 100% ALGODÃO 10,2CM X 6M</w:t>
            </w:r>
          </w:p>
        </w:tc>
        <w:tc>
          <w:tcPr>
            <w:tcW w:w="734" w:type="dxa"/>
            <w:tcBorders>
              <w:top w:val="nil"/>
              <w:left w:val="nil"/>
              <w:bottom w:val="single" w:color="auto" w:sz="4" w:space="0"/>
              <w:right w:val="single" w:color="auto" w:sz="4" w:space="0"/>
            </w:tcBorders>
            <w:shd w:val="clear" w:color="auto" w:fill="auto"/>
            <w:noWrap/>
            <w:vAlign w:val="center"/>
          </w:tcPr>
          <w:p w14:paraId="00FAA45A">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5D51DDA0">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100</w:t>
            </w:r>
          </w:p>
        </w:tc>
        <w:tc>
          <w:tcPr>
            <w:tcW w:w="1350" w:type="dxa"/>
            <w:tcBorders>
              <w:top w:val="nil"/>
              <w:left w:val="single" w:color="auto" w:sz="4" w:space="0"/>
              <w:bottom w:val="single" w:color="auto" w:sz="4" w:space="0"/>
              <w:right w:val="single" w:color="auto" w:sz="4" w:space="0"/>
            </w:tcBorders>
          </w:tcPr>
          <w:p w14:paraId="7736B615">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35C52E89">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643F637D">
            <w:pPr>
              <w:wordWrap w:val="0"/>
              <w:spacing w:after="0" w:line="240" w:lineRule="auto"/>
              <w:jc w:val="center"/>
              <w:rPr>
                <w:rFonts w:ascii="Arial" w:hAnsi="Arial" w:cs="Arial"/>
                <w:kern w:val="2"/>
                <w:sz w:val="16"/>
                <w:szCs w:val="16"/>
              </w:rPr>
            </w:pPr>
          </w:p>
        </w:tc>
      </w:tr>
      <w:tr w14:paraId="4523E509">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1D76B22">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2</w:t>
            </w:r>
          </w:p>
        </w:tc>
        <w:tc>
          <w:tcPr>
            <w:tcW w:w="4646" w:type="dxa"/>
            <w:tcBorders>
              <w:top w:val="nil"/>
              <w:left w:val="nil"/>
              <w:bottom w:val="single" w:color="auto" w:sz="4" w:space="0"/>
              <w:right w:val="single" w:color="auto" w:sz="4" w:space="0"/>
            </w:tcBorders>
            <w:shd w:val="clear" w:color="auto" w:fill="auto"/>
            <w:noWrap/>
            <w:vAlign w:val="center"/>
          </w:tcPr>
          <w:p w14:paraId="2FD3AA35">
            <w:pPr>
              <w:autoSpaceDE w:val="0"/>
              <w:autoSpaceDN w:val="0"/>
              <w:adjustRightInd w:val="0"/>
              <w:spacing w:after="0" w:line="240" w:lineRule="auto"/>
              <w:jc w:val="both"/>
              <w:rPr>
                <w:rFonts w:hint="default" w:ascii="Arial" w:hAnsi="Arial" w:eastAsia="Arial" w:cs="Arial"/>
                <w:b w:val="0"/>
                <w:bCs w:val="0"/>
                <w:sz w:val="16"/>
                <w:szCs w:val="16"/>
                <w:rtl w:val="0"/>
                <w:lang w:val="pt-BR" w:eastAsia="en-US" w:bidi="ar-SA"/>
              </w:rPr>
            </w:pPr>
            <w:r>
              <w:rPr>
                <w:rFonts w:hint="default" w:ascii="Arial" w:hAnsi="Arial" w:eastAsia="Arial"/>
                <w:b w:val="0"/>
                <w:bCs w:val="0"/>
                <w:sz w:val="16"/>
                <w:szCs w:val="16"/>
                <w:rtl w:val="0"/>
                <w:lang w:val="pt-BR"/>
              </w:rPr>
              <w:t>BOTA DE UNNA 100% ALGODÃO 7,5CM X 6M</w:t>
            </w:r>
          </w:p>
        </w:tc>
        <w:tc>
          <w:tcPr>
            <w:tcW w:w="734" w:type="dxa"/>
            <w:tcBorders>
              <w:top w:val="nil"/>
              <w:left w:val="nil"/>
              <w:bottom w:val="single" w:color="auto" w:sz="4" w:space="0"/>
              <w:right w:val="single" w:color="auto" w:sz="4" w:space="0"/>
            </w:tcBorders>
            <w:shd w:val="clear" w:color="auto" w:fill="auto"/>
            <w:noWrap/>
            <w:vAlign w:val="center"/>
          </w:tcPr>
          <w:p w14:paraId="028D50CC">
            <w:pPr>
              <w:autoSpaceDE w:val="0"/>
              <w:autoSpaceDN w:val="0"/>
              <w:adjustRightInd w:val="0"/>
              <w:spacing w:after="0" w:line="240" w:lineRule="auto"/>
              <w:jc w:val="center"/>
              <w:rPr>
                <w:rFonts w:hint="default" w:ascii="Arial" w:hAnsi="Arial" w:eastAsia="Arial" w:cs="Arial"/>
                <w:sz w:val="16"/>
                <w:szCs w:val="16"/>
                <w:rtl w:val="0"/>
                <w:lang w:val="en-US" w:eastAsia="pt-BR" w:bidi="ar-SA"/>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233339A2">
            <w:pPr>
              <w:autoSpaceDE w:val="0"/>
              <w:autoSpaceDN w:val="0"/>
              <w:adjustRightInd w:val="0"/>
              <w:spacing w:after="0" w:line="240" w:lineRule="auto"/>
              <w:jc w:val="center"/>
              <w:rPr>
                <w:rFonts w:hint="default" w:ascii="Arial" w:hAnsi="Arial" w:eastAsia="Arial" w:cs="Arial"/>
                <w:sz w:val="16"/>
                <w:szCs w:val="16"/>
                <w:rtl w:val="0"/>
                <w:lang w:val="en-US" w:eastAsia="pt-BR" w:bidi="ar-SA"/>
              </w:rPr>
            </w:pPr>
            <w:r>
              <w:rPr>
                <w:rFonts w:hint="default" w:ascii="Arial" w:hAnsi="Arial" w:eastAsia="Arial" w:cs="Arial"/>
                <w:sz w:val="16"/>
                <w:szCs w:val="16"/>
                <w:rtl w:val="0"/>
                <w:lang w:val="en-US" w:eastAsia="pt-BR"/>
              </w:rPr>
              <w:t>100</w:t>
            </w:r>
          </w:p>
        </w:tc>
        <w:tc>
          <w:tcPr>
            <w:tcW w:w="1350" w:type="dxa"/>
            <w:tcBorders>
              <w:top w:val="nil"/>
              <w:left w:val="single" w:color="auto" w:sz="4" w:space="0"/>
              <w:bottom w:val="single" w:color="auto" w:sz="4" w:space="0"/>
              <w:right w:val="single" w:color="auto" w:sz="4" w:space="0"/>
            </w:tcBorders>
          </w:tcPr>
          <w:p w14:paraId="3D498069">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3353198B">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6DAB1A95">
            <w:pPr>
              <w:wordWrap w:val="0"/>
              <w:spacing w:after="0" w:line="240" w:lineRule="auto"/>
              <w:jc w:val="center"/>
              <w:rPr>
                <w:rFonts w:ascii="Arial" w:hAnsi="Arial" w:cs="Arial"/>
                <w:kern w:val="2"/>
                <w:sz w:val="16"/>
                <w:szCs w:val="16"/>
              </w:rPr>
            </w:pPr>
          </w:p>
        </w:tc>
      </w:tr>
      <w:tr w14:paraId="3B8DA0DA">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620CB5D8">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3</w:t>
            </w:r>
          </w:p>
        </w:tc>
        <w:tc>
          <w:tcPr>
            <w:tcW w:w="4646" w:type="dxa"/>
            <w:tcBorders>
              <w:top w:val="nil"/>
              <w:left w:val="nil"/>
              <w:bottom w:val="single" w:color="auto" w:sz="4" w:space="0"/>
              <w:right w:val="single" w:color="auto" w:sz="4" w:space="0"/>
            </w:tcBorders>
            <w:shd w:val="clear" w:color="auto" w:fill="auto"/>
            <w:noWrap/>
            <w:vAlign w:val="center"/>
          </w:tcPr>
          <w:p w14:paraId="15073738">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CAMPO FENESTRADO DE 10CM DESCARTÁVEL 30 X 30 EM TNT ESTERILIZÁVEL</w:t>
            </w:r>
          </w:p>
        </w:tc>
        <w:tc>
          <w:tcPr>
            <w:tcW w:w="734" w:type="dxa"/>
            <w:tcBorders>
              <w:top w:val="nil"/>
              <w:left w:val="nil"/>
              <w:bottom w:val="single" w:color="auto" w:sz="4" w:space="0"/>
              <w:right w:val="single" w:color="auto" w:sz="4" w:space="0"/>
            </w:tcBorders>
            <w:shd w:val="clear" w:color="auto" w:fill="auto"/>
            <w:noWrap/>
            <w:vAlign w:val="center"/>
          </w:tcPr>
          <w:p w14:paraId="616B628F">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0F81E642">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600</w:t>
            </w:r>
          </w:p>
        </w:tc>
        <w:tc>
          <w:tcPr>
            <w:tcW w:w="1350" w:type="dxa"/>
            <w:tcBorders>
              <w:top w:val="nil"/>
              <w:left w:val="single" w:color="auto" w:sz="4" w:space="0"/>
              <w:bottom w:val="single" w:color="auto" w:sz="4" w:space="0"/>
              <w:right w:val="single" w:color="auto" w:sz="4" w:space="0"/>
            </w:tcBorders>
          </w:tcPr>
          <w:p w14:paraId="44518883">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3437223F">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6AFA1068">
            <w:pPr>
              <w:wordWrap w:val="0"/>
              <w:spacing w:after="0" w:line="240" w:lineRule="auto"/>
              <w:jc w:val="center"/>
              <w:rPr>
                <w:rFonts w:ascii="Arial" w:hAnsi="Arial" w:cs="Arial"/>
                <w:kern w:val="2"/>
                <w:sz w:val="16"/>
                <w:szCs w:val="16"/>
              </w:rPr>
            </w:pPr>
          </w:p>
        </w:tc>
      </w:tr>
      <w:tr w14:paraId="007F6308">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A1978F2">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4</w:t>
            </w:r>
          </w:p>
        </w:tc>
        <w:tc>
          <w:tcPr>
            <w:tcW w:w="4646" w:type="dxa"/>
            <w:tcBorders>
              <w:top w:val="nil"/>
              <w:left w:val="nil"/>
              <w:bottom w:val="single" w:color="auto" w:sz="4" w:space="0"/>
              <w:right w:val="single" w:color="auto" w:sz="4" w:space="0"/>
            </w:tcBorders>
            <w:shd w:val="clear" w:color="auto" w:fill="auto"/>
            <w:noWrap/>
            <w:vAlign w:val="center"/>
          </w:tcPr>
          <w:p w14:paraId="11F62FAB">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GAZE RAYON 7,5CM X 7,5CM</w:t>
            </w:r>
          </w:p>
        </w:tc>
        <w:tc>
          <w:tcPr>
            <w:tcW w:w="734" w:type="dxa"/>
            <w:tcBorders>
              <w:top w:val="nil"/>
              <w:left w:val="nil"/>
              <w:bottom w:val="single" w:color="auto" w:sz="4" w:space="0"/>
              <w:right w:val="single" w:color="auto" w:sz="4" w:space="0"/>
            </w:tcBorders>
            <w:shd w:val="clear" w:color="auto" w:fill="auto"/>
            <w:noWrap/>
            <w:vAlign w:val="center"/>
          </w:tcPr>
          <w:p w14:paraId="65760FF8">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7C64FA17">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3.000</w:t>
            </w:r>
          </w:p>
        </w:tc>
        <w:tc>
          <w:tcPr>
            <w:tcW w:w="1350" w:type="dxa"/>
            <w:tcBorders>
              <w:top w:val="nil"/>
              <w:left w:val="single" w:color="auto" w:sz="4" w:space="0"/>
              <w:bottom w:val="single" w:color="auto" w:sz="4" w:space="0"/>
              <w:right w:val="single" w:color="auto" w:sz="4" w:space="0"/>
            </w:tcBorders>
          </w:tcPr>
          <w:p w14:paraId="53B33804">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634C910C">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4D7F2B51">
            <w:pPr>
              <w:wordWrap w:val="0"/>
              <w:spacing w:after="0" w:line="240" w:lineRule="auto"/>
              <w:jc w:val="center"/>
              <w:rPr>
                <w:rFonts w:ascii="Arial" w:hAnsi="Arial" w:cs="Arial"/>
                <w:kern w:val="2"/>
                <w:sz w:val="16"/>
                <w:szCs w:val="16"/>
              </w:rPr>
            </w:pPr>
          </w:p>
        </w:tc>
      </w:tr>
      <w:tr w14:paraId="0B8836C9">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0E9B0E6">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5</w:t>
            </w:r>
          </w:p>
        </w:tc>
        <w:tc>
          <w:tcPr>
            <w:tcW w:w="4646" w:type="dxa"/>
            <w:tcBorders>
              <w:top w:val="nil"/>
              <w:left w:val="nil"/>
              <w:bottom w:val="single" w:color="auto" w:sz="4" w:space="0"/>
              <w:right w:val="single" w:color="auto" w:sz="4" w:space="0"/>
            </w:tcBorders>
            <w:shd w:val="clear" w:color="auto" w:fill="auto"/>
            <w:noWrap/>
            <w:vAlign w:val="center"/>
          </w:tcPr>
          <w:p w14:paraId="1A2BD028">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MACACÃO DE PROTEÇÃO DESCARTÁVEL TNT 40 C/ELÁSTICO NA CINTURA</w:t>
            </w:r>
          </w:p>
        </w:tc>
        <w:tc>
          <w:tcPr>
            <w:tcW w:w="734" w:type="dxa"/>
            <w:tcBorders>
              <w:top w:val="nil"/>
              <w:left w:val="nil"/>
              <w:bottom w:val="single" w:color="auto" w:sz="4" w:space="0"/>
              <w:right w:val="single" w:color="auto" w:sz="4" w:space="0"/>
            </w:tcBorders>
            <w:shd w:val="clear" w:color="auto" w:fill="auto"/>
            <w:noWrap/>
            <w:vAlign w:val="center"/>
          </w:tcPr>
          <w:p w14:paraId="03B2BF27">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4E3DA4C6">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1.000</w:t>
            </w:r>
          </w:p>
        </w:tc>
        <w:tc>
          <w:tcPr>
            <w:tcW w:w="1350" w:type="dxa"/>
            <w:tcBorders>
              <w:top w:val="nil"/>
              <w:left w:val="single" w:color="auto" w:sz="4" w:space="0"/>
              <w:bottom w:val="single" w:color="auto" w:sz="4" w:space="0"/>
              <w:right w:val="single" w:color="auto" w:sz="4" w:space="0"/>
            </w:tcBorders>
          </w:tcPr>
          <w:p w14:paraId="78A8C7C6">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140A6FD8">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7B3208E8">
            <w:pPr>
              <w:wordWrap w:val="0"/>
              <w:spacing w:after="0" w:line="240" w:lineRule="auto"/>
              <w:jc w:val="center"/>
              <w:rPr>
                <w:rFonts w:ascii="Arial" w:hAnsi="Arial" w:cs="Arial"/>
                <w:kern w:val="2"/>
                <w:sz w:val="16"/>
                <w:szCs w:val="16"/>
              </w:rPr>
            </w:pPr>
          </w:p>
        </w:tc>
      </w:tr>
      <w:tr w14:paraId="3448E20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0F877D66">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6</w:t>
            </w:r>
          </w:p>
        </w:tc>
        <w:tc>
          <w:tcPr>
            <w:tcW w:w="4646" w:type="dxa"/>
            <w:tcBorders>
              <w:top w:val="nil"/>
              <w:left w:val="nil"/>
              <w:bottom w:val="single" w:color="auto" w:sz="4" w:space="0"/>
              <w:right w:val="single" w:color="auto" w:sz="4" w:space="0"/>
            </w:tcBorders>
            <w:shd w:val="clear" w:color="auto" w:fill="auto"/>
            <w:noWrap/>
            <w:vAlign w:val="center"/>
          </w:tcPr>
          <w:p w14:paraId="5F4C270C">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MALHA TUBULAR DE ALGODÃO 12CM X 15M</w:t>
            </w:r>
          </w:p>
        </w:tc>
        <w:tc>
          <w:tcPr>
            <w:tcW w:w="734" w:type="dxa"/>
            <w:tcBorders>
              <w:top w:val="nil"/>
              <w:left w:val="nil"/>
              <w:bottom w:val="single" w:color="auto" w:sz="4" w:space="0"/>
              <w:right w:val="single" w:color="auto" w:sz="4" w:space="0"/>
            </w:tcBorders>
            <w:shd w:val="clear" w:color="auto" w:fill="auto"/>
            <w:noWrap/>
            <w:vAlign w:val="center"/>
          </w:tcPr>
          <w:p w14:paraId="79E3CA39">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2B5E7E1A">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200</w:t>
            </w:r>
          </w:p>
        </w:tc>
        <w:tc>
          <w:tcPr>
            <w:tcW w:w="1350" w:type="dxa"/>
            <w:tcBorders>
              <w:top w:val="nil"/>
              <w:left w:val="single" w:color="auto" w:sz="4" w:space="0"/>
              <w:bottom w:val="single" w:color="auto" w:sz="4" w:space="0"/>
              <w:right w:val="single" w:color="auto" w:sz="4" w:space="0"/>
            </w:tcBorders>
          </w:tcPr>
          <w:p w14:paraId="05CF19A5">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0382FD02">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3064B84B">
            <w:pPr>
              <w:wordWrap w:val="0"/>
              <w:spacing w:after="0" w:line="240" w:lineRule="auto"/>
              <w:jc w:val="center"/>
              <w:rPr>
                <w:rFonts w:ascii="Arial" w:hAnsi="Arial" w:cs="Arial"/>
                <w:kern w:val="2"/>
                <w:sz w:val="16"/>
                <w:szCs w:val="16"/>
              </w:rPr>
            </w:pPr>
          </w:p>
        </w:tc>
      </w:tr>
      <w:tr w14:paraId="0E2BF71C">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91B231B">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7</w:t>
            </w:r>
          </w:p>
        </w:tc>
        <w:tc>
          <w:tcPr>
            <w:tcW w:w="4646" w:type="dxa"/>
            <w:tcBorders>
              <w:top w:val="nil"/>
              <w:left w:val="nil"/>
              <w:bottom w:val="single" w:color="auto" w:sz="4" w:space="0"/>
              <w:right w:val="single" w:color="auto" w:sz="4" w:space="0"/>
            </w:tcBorders>
            <w:shd w:val="clear" w:color="auto" w:fill="auto"/>
            <w:noWrap/>
            <w:vAlign w:val="center"/>
          </w:tcPr>
          <w:p w14:paraId="6E334074">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OXÍMETRO DE DEDO</w:t>
            </w:r>
          </w:p>
        </w:tc>
        <w:tc>
          <w:tcPr>
            <w:tcW w:w="734" w:type="dxa"/>
            <w:tcBorders>
              <w:top w:val="nil"/>
              <w:left w:val="nil"/>
              <w:bottom w:val="single" w:color="auto" w:sz="4" w:space="0"/>
              <w:right w:val="single" w:color="auto" w:sz="4" w:space="0"/>
            </w:tcBorders>
            <w:shd w:val="clear" w:color="auto" w:fill="auto"/>
            <w:noWrap/>
            <w:vAlign w:val="center"/>
          </w:tcPr>
          <w:p w14:paraId="352C4EAF">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497D6A57">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12</w:t>
            </w:r>
          </w:p>
        </w:tc>
        <w:tc>
          <w:tcPr>
            <w:tcW w:w="1350" w:type="dxa"/>
            <w:tcBorders>
              <w:top w:val="nil"/>
              <w:left w:val="single" w:color="auto" w:sz="4" w:space="0"/>
              <w:bottom w:val="single" w:color="auto" w:sz="4" w:space="0"/>
              <w:right w:val="single" w:color="auto" w:sz="4" w:space="0"/>
            </w:tcBorders>
          </w:tcPr>
          <w:p w14:paraId="29E7393C">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257482B6">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34C62B65">
            <w:pPr>
              <w:wordWrap w:val="0"/>
              <w:spacing w:after="0" w:line="240" w:lineRule="auto"/>
              <w:jc w:val="center"/>
              <w:rPr>
                <w:rFonts w:ascii="Arial" w:hAnsi="Arial" w:cs="Arial"/>
                <w:kern w:val="2"/>
                <w:sz w:val="16"/>
                <w:szCs w:val="16"/>
              </w:rPr>
            </w:pPr>
          </w:p>
        </w:tc>
      </w:tr>
      <w:tr w14:paraId="384C85E3">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00A47E18">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8</w:t>
            </w:r>
          </w:p>
        </w:tc>
        <w:tc>
          <w:tcPr>
            <w:tcW w:w="4646" w:type="dxa"/>
            <w:tcBorders>
              <w:top w:val="nil"/>
              <w:left w:val="nil"/>
              <w:bottom w:val="single" w:color="auto" w:sz="4" w:space="0"/>
              <w:right w:val="single" w:color="auto" w:sz="4" w:space="0"/>
            </w:tcBorders>
            <w:shd w:val="clear" w:color="auto" w:fill="auto"/>
            <w:noWrap/>
            <w:vAlign w:val="center"/>
          </w:tcPr>
          <w:p w14:paraId="3A0CC7FF">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PHMD SABONETE ANTISÉPTICO 500 ML</w:t>
            </w:r>
          </w:p>
        </w:tc>
        <w:tc>
          <w:tcPr>
            <w:tcW w:w="734" w:type="dxa"/>
            <w:tcBorders>
              <w:top w:val="nil"/>
              <w:left w:val="nil"/>
              <w:bottom w:val="single" w:color="auto" w:sz="4" w:space="0"/>
              <w:right w:val="single" w:color="auto" w:sz="4" w:space="0"/>
            </w:tcBorders>
            <w:shd w:val="clear" w:color="auto" w:fill="auto"/>
            <w:noWrap/>
            <w:vAlign w:val="center"/>
          </w:tcPr>
          <w:p w14:paraId="71CF7AB0">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26B48F41">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600</w:t>
            </w:r>
          </w:p>
        </w:tc>
        <w:tc>
          <w:tcPr>
            <w:tcW w:w="1350" w:type="dxa"/>
            <w:tcBorders>
              <w:top w:val="nil"/>
              <w:left w:val="single" w:color="auto" w:sz="4" w:space="0"/>
              <w:bottom w:val="single" w:color="auto" w:sz="4" w:space="0"/>
              <w:right w:val="single" w:color="auto" w:sz="4" w:space="0"/>
            </w:tcBorders>
          </w:tcPr>
          <w:p w14:paraId="2CC6632A">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7444BE80">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1018140D">
            <w:pPr>
              <w:wordWrap w:val="0"/>
              <w:spacing w:after="0" w:line="240" w:lineRule="auto"/>
              <w:jc w:val="center"/>
              <w:rPr>
                <w:rFonts w:ascii="Arial" w:hAnsi="Arial" w:cs="Arial"/>
                <w:kern w:val="2"/>
                <w:sz w:val="16"/>
                <w:szCs w:val="16"/>
              </w:rPr>
            </w:pPr>
          </w:p>
        </w:tc>
      </w:tr>
      <w:tr w14:paraId="68937BB9">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7165A8D0">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9</w:t>
            </w:r>
          </w:p>
        </w:tc>
        <w:tc>
          <w:tcPr>
            <w:tcW w:w="4646" w:type="dxa"/>
            <w:tcBorders>
              <w:top w:val="nil"/>
              <w:left w:val="nil"/>
              <w:bottom w:val="single" w:color="auto" w:sz="4" w:space="0"/>
              <w:right w:val="single" w:color="auto" w:sz="4" w:space="0"/>
            </w:tcBorders>
            <w:shd w:val="clear" w:color="auto" w:fill="auto"/>
            <w:noWrap/>
            <w:vAlign w:val="center"/>
          </w:tcPr>
          <w:p w14:paraId="6237E309">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SERINGA DESCARTÁVEL SEM AGULHA 20ML (luer slip-sem rosca) COM 100 UNIDADES</w:t>
            </w:r>
          </w:p>
        </w:tc>
        <w:tc>
          <w:tcPr>
            <w:tcW w:w="734" w:type="dxa"/>
            <w:tcBorders>
              <w:top w:val="nil"/>
              <w:left w:val="nil"/>
              <w:bottom w:val="single" w:color="auto" w:sz="4" w:space="0"/>
              <w:right w:val="single" w:color="auto" w:sz="4" w:space="0"/>
            </w:tcBorders>
            <w:shd w:val="clear" w:color="auto" w:fill="auto"/>
            <w:noWrap/>
            <w:vAlign w:val="center"/>
          </w:tcPr>
          <w:p w14:paraId="626BEFF2">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CX</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39FCE303">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300</w:t>
            </w:r>
          </w:p>
        </w:tc>
        <w:tc>
          <w:tcPr>
            <w:tcW w:w="1350" w:type="dxa"/>
            <w:tcBorders>
              <w:top w:val="nil"/>
              <w:left w:val="single" w:color="auto" w:sz="4" w:space="0"/>
              <w:bottom w:val="single" w:color="auto" w:sz="4" w:space="0"/>
              <w:right w:val="single" w:color="auto" w:sz="4" w:space="0"/>
            </w:tcBorders>
          </w:tcPr>
          <w:p w14:paraId="75A409A0">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763BC49C">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52AB580B">
            <w:pPr>
              <w:wordWrap w:val="0"/>
              <w:spacing w:after="0" w:line="240" w:lineRule="auto"/>
              <w:jc w:val="center"/>
              <w:rPr>
                <w:rFonts w:ascii="Arial" w:hAnsi="Arial" w:cs="Arial"/>
                <w:kern w:val="2"/>
                <w:sz w:val="16"/>
                <w:szCs w:val="16"/>
              </w:rPr>
            </w:pPr>
          </w:p>
        </w:tc>
      </w:tr>
      <w:tr w14:paraId="5465DF4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2D5C7AFD">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10</w:t>
            </w:r>
          </w:p>
        </w:tc>
        <w:tc>
          <w:tcPr>
            <w:tcW w:w="4646" w:type="dxa"/>
            <w:tcBorders>
              <w:top w:val="nil"/>
              <w:left w:val="nil"/>
              <w:bottom w:val="single" w:color="auto" w:sz="4" w:space="0"/>
              <w:right w:val="single" w:color="auto" w:sz="4" w:space="0"/>
            </w:tcBorders>
            <w:shd w:val="clear" w:color="auto" w:fill="auto"/>
            <w:noWrap/>
            <w:vAlign w:val="center"/>
          </w:tcPr>
          <w:p w14:paraId="30DB9142">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SONDA FOLEY 3 VIAS Nº 14</w:t>
            </w:r>
          </w:p>
        </w:tc>
        <w:tc>
          <w:tcPr>
            <w:tcW w:w="734" w:type="dxa"/>
            <w:tcBorders>
              <w:top w:val="nil"/>
              <w:left w:val="nil"/>
              <w:bottom w:val="single" w:color="auto" w:sz="4" w:space="0"/>
              <w:right w:val="single" w:color="auto" w:sz="4" w:space="0"/>
            </w:tcBorders>
            <w:shd w:val="clear" w:color="auto" w:fill="auto"/>
            <w:noWrap/>
            <w:vAlign w:val="center"/>
          </w:tcPr>
          <w:p w14:paraId="19DB611A">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72A1872D">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100</w:t>
            </w:r>
          </w:p>
        </w:tc>
        <w:tc>
          <w:tcPr>
            <w:tcW w:w="1350" w:type="dxa"/>
            <w:tcBorders>
              <w:top w:val="nil"/>
              <w:left w:val="single" w:color="auto" w:sz="4" w:space="0"/>
              <w:bottom w:val="single" w:color="auto" w:sz="4" w:space="0"/>
              <w:right w:val="single" w:color="auto" w:sz="4" w:space="0"/>
            </w:tcBorders>
          </w:tcPr>
          <w:p w14:paraId="47706C05">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0E748AC9">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2BE1A42B">
            <w:pPr>
              <w:wordWrap w:val="0"/>
              <w:spacing w:after="0" w:line="240" w:lineRule="auto"/>
              <w:jc w:val="center"/>
              <w:rPr>
                <w:rFonts w:ascii="Arial" w:hAnsi="Arial" w:cs="Arial"/>
                <w:kern w:val="2"/>
                <w:sz w:val="16"/>
                <w:szCs w:val="16"/>
              </w:rPr>
            </w:pPr>
          </w:p>
        </w:tc>
      </w:tr>
      <w:tr w14:paraId="51BE6D01">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5D014354">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11</w:t>
            </w:r>
          </w:p>
        </w:tc>
        <w:tc>
          <w:tcPr>
            <w:tcW w:w="4646" w:type="dxa"/>
            <w:tcBorders>
              <w:top w:val="nil"/>
              <w:left w:val="nil"/>
              <w:bottom w:val="single" w:color="auto" w:sz="4" w:space="0"/>
              <w:right w:val="single" w:color="auto" w:sz="4" w:space="0"/>
            </w:tcBorders>
            <w:shd w:val="clear" w:color="auto" w:fill="auto"/>
            <w:noWrap/>
            <w:vAlign w:val="center"/>
          </w:tcPr>
          <w:p w14:paraId="46092A4C">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SULFADIAZINA DE PRATA 1% POTE DE 400 GRAMAS</w:t>
            </w:r>
          </w:p>
        </w:tc>
        <w:tc>
          <w:tcPr>
            <w:tcW w:w="734" w:type="dxa"/>
            <w:tcBorders>
              <w:top w:val="nil"/>
              <w:left w:val="nil"/>
              <w:bottom w:val="single" w:color="auto" w:sz="4" w:space="0"/>
              <w:right w:val="single" w:color="auto" w:sz="4" w:space="0"/>
            </w:tcBorders>
            <w:shd w:val="clear" w:color="auto" w:fill="auto"/>
            <w:noWrap/>
            <w:vAlign w:val="center"/>
          </w:tcPr>
          <w:p w14:paraId="222E53A8">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PT</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137AF0EE">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610</w:t>
            </w:r>
          </w:p>
        </w:tc>
        <w:tc>
          <w:tcPr>
            <w:tcW w:w="1350" w:type="dxa"/>
            <w:tcBorders>
              <w:top w:val="nil"/>
              <w:left w:val="single" w:color="auto" w:sz="4" w:space="0"/>
              <w:bottom w:val="single" w:color="auto" w:sz="4" w:space="0"/>
              <w:right w:val="single" w:color="auto" w:sz="4" w:space="0"/>
            </w:tcBorders>
          </w:tcPr>
          <w:p w14:paraId="0CC96582">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3767D1DF">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5BE35DAB">
            <w:pPr>
              <w:wordWrap w:val="0"/>
              <w:spacing w:after="0" w:line="240" w:lineRule="auto"/>
              <w:jc w:val="center"/>
              <w:rPr>
                <w:rFonts w:ascii="Arial" w:hAnsi="Arial" w:cs="Arial"/>
                <w:kern w:val="2"/>
                <w:sz w:val="16"/>
                <w:szCs w:val="16"/>
              </w:rPr>
            </w:pPr>
          </w:p>
        </w:tc>
      </w:tr>
      <w:tr w14:paraId="72A648F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6395BA4D">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12</w:t>
            </w:r>
          </w:p>
        </w:tc>
        <w:tc>
          <w:tcPr>
            <w:tcW w:w="4646" w:type="dxa"/>
            <w:tcBorders>
              <w:top w:val="nil"/>
              <w:left w:val="nil"/>
              <w:bottom w:val="single" w:color="auto" w:sz="4" w:space="0"/>
              <w:right w:val="single" w:color="auto" w:sz="4" w:space="0"/>
            </w:tcBorders>
            <w:shd w:val="clear" w:color="auto" w:fill="auto"/>
            <w:noWrap/>
            <w:vAlign w:val="center"/>
          </w:tcPr>
          <w:p w14:paraId="102BB192">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TALA METÁLICA PARA IMOBILIZAÇÃO 16MM X 250MM</w:t>
            </w:r>
          </w:p>
        </w:tc>
        <w:tc>
          <w:tcPr>
            <w:tcW w:w="734" w:type="dxa"/>
            <w:tcBorders>
              <w:top w:val="nil"/>
              <w:left w:val="nil"/>
              <w:bottom w:val="single" w:color="auto" w:sz="4" w:space="0"/>
              <w:right w:val="single" w:color="auto" w:sz="4" w:space="0"/>
            </w:tcBorders>
            <w:shd w:val="clear" w:color="auto" w:fill="auto"/>
            <w:noWrap/>
            <w:vAlign w:val="center"/>
          </w:tcPr>
          <w:p w14:paraId="19679AE5">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777914A1">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500</w:t>
            </w:r>
          </w:p>
        </w:tc>
        <w:tc>
          <w:tcPr>
            <w:tcW w:w="1350" w:type="dxa"/>
            <w:tcBorders>
              <w:top w:val="nil"/>
              <w:left w:val="single" w:color="auto" w:sz="4" w:space="0"/>
              <w:bottom w:val="single" w:color="auto" w:sz="4" w:space="0"/>
              <w:right w:val="single" w:color="auto" w:sz="4" w:space="0"/>
            </w:tcBorders>
          </w:tcPr>
          <w:p w14:paraId="6BE82BDB">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1024FC10">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256898DF">
            <w:pPr>
              <w:wordWrap w:val="0"/>
              <w:spacing w:after="0" w:line="240" w:lineRule="auto"/>
              <w:jc w:val="center"/>
              <w:rPr>
                <w:rFonts w:ascii="Arial" w:hAnsi="Arial" w:cs="Arial"/>
                <w:kern w:val="2"/>
                <w:sz w:val="16"/>
                <w:szCs w:val="16"/>
              </w:rPr>
            </w:pPr>
          </w:p>
        </w:tc>
      </w:tr>
      <w:tr w14:paraId="1BCF000E">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4E2C66B2">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13</w:t>
            </w:r>
          </w:p>
        </w:tc>
        <w:tc>
          <w:tcPr>
            <w:tcW w:w="4646" w:type="dxa"/>
            <w:tcBorders>
              <w:top w:val="nil"/>
              <w:left w:val="nil"/>
              <w:bottom w:val="single" w:color="auto" w:sz="4" w:space="0"/>
              <w:right w:val="single" w:color="auto" w:sz="4" w:space="0"/>
            </w:tcBorders>
            <w:shd w:val="clear" w:color="auto" w:fill="auto"/>
            <w:noWrap/>
            <w:vAlign w:val="center"/>
          </w:tcPr>
          <w:p w14:paraId="5F0F9681">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TALA ARAMADA DE ESPUMA PARA IMOBILIZAÇÃO DE MEMBROS SUPERIORES E INFERIORES TAM G</w:t>
            </w:r>
          </w:p>
        </w:tc>
        <w:tc>
          <w:tcPr>
            <w:tcW w:w="734" w:type="dxa"/>
            <w:tcBorders>
              <w:top w:val="nil"/>
              <w:left w:val="nil"/>
              <w:bottom w:val="single" w:color="auto" w:sz="4" w:space="0"/>
              <w:right w:val="single" w:color="auto" w:sz="4" w:space="0"/>
            </w:tcBorders>
            <w:shd w:val="clear" w:color="auto" w:fill="auto"/>
            <w:noWrap/>
            <w:vAlign w:val="center"/>
          </w:tcPr>
          <w:p w14:paraId="24601EF7">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UND</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6E800C3B">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100</w:t>
            </w:r>
          </w:p>
        </w:tc>
        <w:tc>
          <w:tcPr>
            <w:tcW w:w="1350" w:type="dxa"/>
            <w:tcBorders>
              <w:top w:val="nil"/>
              <w:left w:val="single" w:color="auto" w:sz="4" w:space="0"/>
              <w:bottom w:val="single" w:color="auto" w:sz="4" w:space="0"/>
              <w:right w:val="single" w:color="auto" w:sz="4" w:space="0"/>
            </w:tcBorders>
          </w:tcPr>
          <w:p w14:paraId="3E5C4E56">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285DD90A">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459FB763">
            <w:pPr>
              <w:wordWrap w:val="0"/>
              <w:spacing w:after="0" w:line="240" w:lineRule="auto"/>
              <w:jc w:val="center"/>
              <w:rPr>
                <w:rFonts w:ascii="Arial" w:hAnsi="Arial" w:cs="Arial"/>
                <w:kern w:val="2"/>
                <w:sz w:val="16"/>
                <w:szCs w:val="16"/>
              </w:rPr>
            </w:pPr>
          </w:p>
        </w:tc>
      </w:tr>
      <w:tr w14:paraId="6FA48F80">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57FF6B5">
            <w:pPr>
              <w:spacing w:line="240" w:lineRule="auto"/>
              <w:jc w:val="center"/>
              <w:rPr>
                <w:rFonts w:hint="default" w:ascii="Arial" w:hAnsi="Arial" w:cs="Arial"/>
                <w:kern w:val="2"/>
                <w:sz w:val="16"/>
                <w:szCs w:val="16"/>
                <w:lang w:val="pt-BR"/>
              </w:rPr>
            </w:pPr>
            <w:r>
              <w:rPr>
                <w:rFonts w:hint="default" w:ascii="Arial" w:hAnsi="Arial" w:cs="Arial"/>
                <w:kern w:val="2"/>
                <w:sz w:val="16"/>
                <w:szCs w:val="16"/>
                <w:lang w:val="pt-BR"/>
              </w:rPr>
              <w:t>14</w:t>
            </w:r>
          </w:p>
        </w:tc>
        <w:tc>
          <w:tcPr>
            <w:tcW w:w="4646" w:type="dxa"/>
            <w:tcBorders>
              <w:top w:val="nil"/>
              <w:left w:val="nil"/>
              <w:bottom w:val="single" w:color="auto" w:sz="4" w:space="0"/>
              <w:right w:val="single" w:color="auto" w:sz="4" w:space="0"/>
            </w:tcBorders>
            <w:shd w:val="clear" w:color="auto" w:fill="auto"/>
            <w:noWrap/>
            <w:vAlign w:val="center"/>
          </w:tcPr>
          <w:p w14:paraId="1F8E6A92">
            <w:pPr>
              <w:autoSpaceDE w:val="0"/>
              <w:autoSpaceDN w:val="0"/>
              <w:adjustRightInd w:val="0"/>
              <w:spacing w:after="0" w:line="240" w:lineRule="auto"/>
              <w:jc w:val="both"/>
              <w:rPr>
                <w:rFonts w:hint="default" w:ascii="Arial" w:hAnsi="Arial" w:eastAsia="Arial"/>
                <w:b w:val="0"/>
                <w:bCs w:val="0"/>
                <w:sz w:val="16"/>
                <w:szCs w:val="16"/>
                <w:rtl w:val="0"/>
                <w:lang w:val="pt-BR"/>
              </w:rPr>
            </w:pPr>
            <w:r>
              <w:rPr>
                <w:rFonts w:hint="default" w:ascii="Arial" w:hAnsi="Arial" w:eastAsia="Arial"/>
                <w:b w:val="0"/>
                <w:bCs w:val="0"/>
                <w:sz w:val="16"/>
                <w:szCs w:val="16"/>
                <w:rtl w:val="0"/>
                <w:lang w:val="pt-BR"/>
              </w:rPr>
              <w:t>VASELINA EM PASTA POTE DE 500 GRAMAS</w:t>
            </w:r>
          </w:p>
        </w:tc>
        <w:tc>
          <w:tcPr>
            <w:tcW w:w="734" w:type="dxa"/>
            <w:tcBorders>
              <w:top w:val="nil"/>
              <w:left w:val="nil"/>
              <w:bottom w:val="single" w:color="auto" w:sz="4" w:space="0"/>
              <w:right w:val="single" w:color="auto" w:sz="4" w:space="0"/>
            </w:tcBorders>
            <w:shd w:val="clear" w:color="auto" w:fill="auto"/>
            <w:noWrap/>
            <w:vAlign w:val="center"/>
          </w:tcPr>
          <w:p w14:paraId="4F075AC4">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PT</w:t>
            </w:r>
          </w:p>
        </w:tc>
        <w:tc>
          <w:tcPr>
            <w:tcW w:w="961" w:type="dxa"/>
            <w:tcBorders>
              <w:top w:val="nil"/>
              <w:left w:val="single" w:color="auto" w:sz="4" w:space="0"/>
              <w:bottom w:val="single" w:color="auto" w:sz="4" w:space="0"/>
              <w:right w:val="single" w:color="auto" w:sz="4" w:space="0"/>
            </w:tcBorders>
            <w:shd w:val="clear" w:color="auto" w:fill="auto"/>
            <w:noWrap/>
            <w:vAlign w:val="center"/>
          </w:tcPr>
          <w:p w14:paraId="28A4FA93">
            <w:pPr>
              <w:autoSpaceDE w:val="0"/>
              <w:autoSpaceDN w:val="0"/>
              <w:adjustRightInd w:val="0"/>
              <w:spacing w:after="0" w:line="240" w:lineRule="auto"/>
              <w:jc w:val="center"/>
              <w:rPr>
                <w:rFonts w:hint="default" w:ascii="Arial" w:hAnsi="Arial" w:eastAsia="Arial" w:cs="Arial"/>
                <w:sz w:val="16"/>
                <w:szCs w:val="16"/>
                <w:rtl w:val="0"/>
                <w:lang w:val="en-US" w:eastAsia="pt-BR"/>
              </w:rPr>
            </w:pPr>
            <w:r>
              <w:rPr>
                <w:rFonts w:hint="default" w:ascii="Arial" w:hAnsi="Arial" w:eastAsia="Arial" w:cs="Arial"/>
                <w:sz w:val="16"/>
                <w:szCs w:val="16"/>
                <w:rtl w:val="0"/>
                <w:lang w:val="en-US" w:eastAsia="pt-BR"/>
              </w:rPr>
              <w:t>300</w:t>
            </w:r>
          </w:p>
        </w:tc>
        <w:tc>
          <w:tcPr>
            <w:tcW w:w="1350" w:type="dxa"/>
            <w:tcBorders>
              <w:top w:val="nil"/>
              <w:left w:val="single" w:color="auto" w:sz="4" w:space="0"/>
              <w:bottom w:val="single" w:color="auto" w:sz="4" w:space="0"/>
              <w:right w:val="single" w:color="auto" w:sz="4" w:space="0"/>
            </w:tcBorders>
          </w:tcPr>
          <w:p w14:paraId="25AA0BC9">
            <w:pPr>
              <w:wordWrap w:val="0"/>
              <w:spacing w:after="0" w:line="240" w:lineRule="auto"/>
              <w:jc w:val="center"/>
              <w:rPr>
                <w:rFonts w:ascii="Arial" w:hAnsi="Arial" w:cs="Arial"/>
                <w:kern w:val="2"/>
                <w:sz w:val="16"/>
                <w:szCs w:val="16"/>
              </w:rPr>
            </w:pPr>
          </w:p>
        </w:tc>
        <w:tc>
          <w:tcPr>
            <w:tcW w:w="1350" w:type="dxa"/>
            <w:tcBorders>
              <w:top w:val="nil"/>
              <w:left w:val="single" w:color="auto" w:sz="4" w:space="0"/>
              <w:bottom w:val="single" w:color="auto" w:sz="4" w:space="0"/>
              <w:right w:val="single" w:color="auto" w:sz="4" w:space="0"/>
            </w:tcBorders>
          </w:tcPr>
          <w:p w14:paraId="7036342A">
            <w:pPr>
              <w:wordWrap w:val="0"/>
              <w:spacing w:after="0" w:line="240" w:lineRule="auto"/>
              <w:jc w:val="center"/>
              <w:rPr>
                <w:rFonts w:ascii="Arial" w:hAnsi="Arial" w:cs="Arial"/>
                <w:kern w:val="2"/>
                <w:sz w:val="16"/>
                <w:szCs w:val="16"/>
              </w:rPr>
            </w:pPr>
          </w:p>
        </w:tc>
        <w:tc>
          <w:tcPr>
            <w:tcW w:w="1155" w:type="dxa"/>
            <w:tcBorders>
              <w:top w:val="nil"/>
              <w:left w:val="single" w:color="auto" w:sz="4" w:space="0"/>
              <w:bottom w:val="single" w:color="auto" w:sz="4" w:space="0"/>
              <w:right w:val="single" w:color="auto" w:sz="4" w:space="0"/>
            </w:tcBorders>
          </w:tcPr>
          <w:p w14:paraId="40D1BAA6">
            <w:pPr>
              <w:wordWrap w:val="0"/>
              <w:spacing w:after="0" w:line="240" w:lineRule="auto"/>
              <w:jc w:val="center"/>
              <w:rPr>
                <w:rFonts w:ascii="Arial" w:hAnsi="Arial" w:cs="Arial"/>
                <w:kern w:val="2"/>
                <w:sz w:val="16"/>
                <w:szCs w:val="16"/>
              </w:rPr>
            </w:pPr>
          </w:p>
        </w:tc>
      </w:tr>
      <w:tr w14:paraId="660122F7">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2076FE1C">
            <w:pPr>
              <w:spacing w:line="240" w:lineRule="auto"/>
              <w:jc w:val="center"/>
              <w:rPr>
                <w:rFonts w:ascii="Arial" w:hAnsi="Arial" w:cs="Arial"/>
                <w:kern w:val="2"/>
                <w:sz w:val="16"/>
                <w:szCs w:val="16"/>
              </w:rPr>
            </w:pPr>
          </w:p>
        </w:tc>
        <w:tc>
          <w:tcPr>
            <w:tcW w:w="4646" w:type="dxa"/>
            <w:tcBorders>
              <w:top w:val="single" w:color="auto" w:sz="4" w:space="0"/>
              <w:left w:val="nil"/>
              <w:bottom w:val="single" w:color="auto" w:sz="4" w:space="0"/>
              <w:right w:val="single" w:color="auto" w:sz="4" w:space="0"/>
            </w:tcBorders>
            <w:shd w:val="clear" w:color="auto" w:fill="auto"/>
            <w:noWrap/>
            <w:vAlign w:val="center"/>
          </w:tcPr>
          <w:p w14:paraId="2C96B4B0">
            <w:pPr>
              <w:autoSpaceDE w:val="0"/>
              <w:autoSpaceDN w:val="0"/>
              <w:adjustRightInd w:val="0"/>
              <w:spacing w:after="0" w:line="240" w:lineRule="auto"/>
              <w:jc w:val="both"/>
              <w:rPr>
                <w:rFonts w:hint="default" w:ascii="Arial" w:hAnsi="Arial" w:eastAsia="Arial"/>
                <w:b w:val="0"/>
                <w:bCs w:val="0"/>
                <w:sz w:val="16"/>
                <w:szCs w:val="16"/>
                <w:rtl w:val="0"/>
              </w:rPr>
            </w:pPr>
          </w:p>
        </w:tc>
        <w:tc>
          <w:tcPr>
            <w:tcW w:w="734" w:type="dxa"/>
            <w:tcBorders>
              <w:top w:val="single" w:color="auto" w:sz="4" w:space="0"/>
              <w:left w:val="nil"/>
              <w:bottom w:val="single" w:color="auto" w:sz="4" w:space="0"/>
              <w:right w:val="single" w:color="auto" w:sz="4" w:space="0"/>
            </w:tcBorders>
            <w:shd w:val="clear" w:color="auto" w:fill="auto"/>
            <w:noWrap/>
            <w:vAlign w:val="center"/>
          </w:tcPr>
          <w:p w14:paraId="0ACD57DB">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96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69834D">
            <w:pPr>
              <w:autoSpaceDE w:val="0"/>
              <w:autoSpaceDN w:val="0"/>
              <w:adjustRightInd w:val="0"/>
              <w:spacing w:after="0" w:line="240" w:lineRule="auto"/>
              <w:jc w:val="center"/>
              <w:rPr>
                <w:rFonts w:hint="default" w:ascii="Arial" w:hAnsi="Arial" w:eastAsia="Arial" w:cs="Arial"/>
                <w:sz w:val="16"/>
                <w:szCs w:val="16"/>
                <w:rtl w:val="0"/>
                <w:lang w:val="en-US" w:eastAsia="pt-BR"/>
              </w:rPr>
            </w:pPr>
          </w:p>
        </w:tc>
        <w:tc>
          <w:tcPr>
            <w:tcW w:w="1350" w:type="dxa"/>
            <w:tcBorders>
              <w:top w:val="single" w:color="auto" w:sz="4" w:space="0"/>
              <w:left w:val="single" w:color="auto" w:sz="4" w:space="0"/>
              <w:bottom w:val="single" w:color="auto" w:sz="4" w:space="0"/>
              <w:right w:val="single" w:color="auto" w:sz="4" w:space="0"/>
            </w:tcBorders>
          </w:tcPr>
          <w:p w14:paraId="282C6849">
            <w:pPr>
              <w:wordWrap w:val="0"/>
              <w:spacing w:after="0" w:line="240" w:lineRule="auto"/>
              <w:jc w:val="center"/>
              <w:rPr>
                <w:rFonts w:hint="default" w:ascii="Arial" w:hAnsi="Arial" w:cs="Arial"/>
                <w:kern w:val="2"/>
                <w:sz w:val="16"/>
                <w:szCs w:val="16"/>
                <w:lang w:val="pt-BR"/>
              </w:rPr>
            </w:pPr>
          </w:p>
        </w:tc>
        <w:tc>
          <w:tcPr>
            <w:tcW w:w="1350" w:type="dxa"/>
            <w:tcBorders>
              <w:top w:val="single" w:color="auto" w:sz="4" w:space="0"/>
              <w:left w:val="single" w:color="auto" w:sz="4" w:space="0"/>
              <w:bottom w:val="single" w:color="auto" w:sz="4" w:space="0"/>
              <w:right w:val="single" w:color="auto" w:sz="4" w:space="0"/>
            </w:tcBorders>
          </w:tcPr>
          <w:p w14:paraId="2B2C2175">
            <w:pPr>
              <w:wordWrap w:val="0"/>
              <w:spacing w:after="0" w:line="240" w:lineRule="auto"/>
              <w:jc w:val="center"/>
              <w:rPr>
                <w:rFonts w:hint="default" w:ascii="Arial" w:hAnsi="Arial" w:cs="Arial"/>
                <w:kern w:val="2"/>
                <w:sz w:val="16"/>
                <w:szCs w:val="16"/>
                <w:lang w:val="pt-BR"/>
              </w:rPr>
            </w:pPr>
            <w:r>
              <w:rPr>
                <w:rFonts w:hint="default" w:ascii="Arial" w:hAnsi="Arial" w:cs="Arial"/>
                <w:kern w:val="2"/>
                <w:sz w:val="16"/>
                <w:szCs w:val="16"/>
                <w:lang w:val="pt-BR"/>
              </w:rPr>
              <w:t>TOTAL</w:t>
            </w:r>
          </w:p>
        </w:tc>
        <w:tc>
          <w:tcPr>
            <w:tcW w:w="1155" w:type="dxa"/>
            <w:tcBorders>
              <w:top w:val="single" w:color="auto" w:sz="4" w:space="0"/>
              <w:left w:val="single" w:color="auto" w:sz="4" w:space="0"/>
              <w:bottom w:val="single" w:color="auto" w:sz="4" w:space="0"/>
              <w:right w:val="single" w:color="auto" w:sz="4" w:space="0"/>
            </w:tcBorders>
          </w:tcPr>
          <w:p w14:paraId="3367D036">
            <w:pPr>
              <w:wordWrap w:val="0"/>
              <w:spacing w:after="0" w:line="240" w:lineRule="auto"/>
              <w:jc w:val="center"/>
              <w:rPr>
                <w:rFonts w:ascii="Arial" w:hAnsi="Arial" w:cs="Arial"/>
                <w:kern w:val="2"/>
                <w:sz w:val="16"/>
                <w:szCs w:val="16"/>
              </w:rPr>
            </w:pPr>
          </w:p>
        </w:tc>
      </w:tr>
    </w:tbl>
    <w:p w14:paraId="3327307D">
      <w:pPr>
        <w:pStyle w:val="220"/>
        <w:numPr>
          <w:ilvl w:val="0"/>
          <w:numId w:val="0"/>
        </w:numPr>
        <w:tabs>
          <w:tab w:val="left" w:pos="426"/>
        </w:tabs>
        <w:spacing w:line="240" w:lineRule="auto"/>
        <w:ind w:leftChars="0"/>
        <w:jc w:val="both"/>
        <w:rPr>
          <w:rFonts w:hint="default" w:ascii="Arial" w:hAnsi="Arial" w:cs="Arial"/>
          <w:b w:val="0"/>
          <w:bCs w:val="0"/>
          <w:sz w:val="17"/>
          <w:szCs w:val="17"/>
        </w:rPr>
      </w:pPr>
    </w:p>
    <w:p w14:paraId="50BC6C42">
      <w:pPr>
        <w:pStyle w:val="220"/>
        <w:numPr>
          <w:ilvl w:val="0"/>
          <w:numId w:val="0"/>
        </w:numPr>
        <w:tabs>
          <w:tab w:val="left" w:pos="426"/>
        </w:tabs>
        <w:spacing w:line="240" w:lineRule="auto"/>
        <w:ind w:leftChars="0"/>
        <w:jc w:val="both"/>
        <w:rPr>
          <w:rFonts w:hint="default" w:ascii="Arial" w:hAnsi="Arial" w:cs="Arial"/>
          <w:b w:val="0"/>
          <w:bCs w:val="0"/>
          <w:sz w:val="17"/>
          <w:szCs w:val="17"/>
        </w:rPr>
      </w:pPr>
    </w:p>
    <w:p w14:paraId="54D61499">
      <w:pPr>
        <w:pStyle w:val="220"/>
        <w:numPr>
          <w:ilvl w:val="1"/>
          <w:numId w:val="24"/>
        </w:numPr>
        <w:spacing w:line="240" w:lineRule="auto"/>
        <w:ind w:left="0" w:firstLine="0"/>
        <w:jc w:val="both"/>
        <w:rPr>
          <w:rFonts w:hint="default" w:ascii="Arial" w:hAnsi="Arial" w:cs="Arial"/>
          <w:sz w:val="16"/>
          <w:szCs w:val="16"/>
        </w:rPr>
      </w:pPr>
      <w:r>
        <w:rPr>
          <w:rFonts w:hint="default" w:ascii="Arial" w:hAnsi="Arial" w:cs="Arial"/>
          <w:sz w:val="16"/>
          <w:szCs w:val="16"/>
        </w:rPr>
        <w:t>Quantitativo mínimo previsto de cada item conforme Art. 28 §2° do Decreto Municipal 5.805/2023:</w:t>
      </w:r>
      <w:r>
        <w:rPr>
          <w:rFonts w:hint="default" w:ascii="Arial" w:hAnsi="Arial" w:cs="Arial"/>
          <w:sz w:val="16"/>
          <w:szCs w:val="16"/>
          <w:lang w:val="pt-BR"/>
        </w:rPr>
        <w:t xml:space="preserve"> 01 (um).</w:t>
      </w:r>
    </w:p>
    <w:p w14:paraId="3E435405">
      <w:pPr>
        <w:pStyle w:val="220"/>
        <w:numPr>
          <w:ilvl w:val="0"/>
          <w:numId w:val="0"/>
        </w:numPr>
        <w:suppressAutoHyphens/>
        <w:spacing w:line="240" w:lineRule="auto"/>
        <w:contextualSpacing/>
        <w:jc w:val="both"/>
        <w:rPr>
          <w:rFonts w:hint="default" w:ascii="Arial" w:hAnsi="Arial" w:cs="Arial"/>
          <w:sz w:val="17"/>
          <w:szCs w:val="17"/>
          <w:lang w:val="pt-BR"/>
        </w:rPr>
      </w:pPr>
    </w:p>
    <w:p w14:paraId="33B53864">
      <w:pPr>
        <w:spacing w:line="240" w:lineRule="auto"/>
        <w:jc w:val="both"/>
        <w:rPr>
          <w:rFonts w:hint="default" w:ascii="Arial" w:hAnsi="Arial" w:cs="Arial"/>
          <w:b/>
          <w:bCs/>
          <w:sz w:val="17"/>
          <w:szCs w:val="17"/>
          <w:lang w:val="pt-BR"/>
        </w:rPr>
      </w:pPr>
      <w:r>
        <w:rPr>
          <w:rFonts w:hint="default" w:ascii="Arial" w:hAnsi="Arial" w:cs="Arial"/>
          <w:b/>
          <w:bCs/>
          <w:sz w:val="17"/>
          <w:szCs w:val="17"/>
        </w:rPr>
        <w:t>CLÁUSULA SEGUNDA – CONDIÇÕES P</w:t>
      </w:r>
      <w:r>
        <w:rPr>
          <w:rFonts w:hint="default" w:ascii="Arial" w:hAnsi="Arial" w:cs="Arial"/>
          <w:b/>
          <w:bCs/>
          <w:sz w:val="17"/>
          <w:szCs w:val="17"/>
          <w:lang w:val="pt-BR"/>
        </w:rPr>
        <w:t>ARA EXECUÇÃO DOS SERVIÇOS</w:t>
      </w:r>
    </w:p>
    <w:p w14:paraId="1A1BCB4E">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hint="default" w:ascii="Arial" w:hAnsi="Arial" w:eastAsia="Times New Roman"/>
          <w:sz w:val="17"/>
          <w:szCs w:val="17"/>
        </w:rPr>
      </w:pPr>
      <w:r>
        <w:rPr>
          <w:rFonts w:hint="default" w:ascii="Arial" w:hAnsi="Arial" w:eastAsia="Times New Roman" w:cs="Times New Roman"/>
          <w:sz w:val="17"/>
          <w:szCs w:val="17"/>
          <w:lang w:val="pt-BR"/>
        </w:rPr>
        <w:t xml:space="preserve">2.1. </w:t>
      </w:r>
      <w:r>
        <w:rPr>
          <w:rFonts w:hint="default" w:ascii="Arial" w:hAnsi="Arial" w:eastAsia="Times New Roman"/>
          <w:sz w:val="17"/>
          <w:szCs w:val="17"/>
        </w:rPr>
        <w:t>O fornecimento de materiais de procedimentos médicos e hospitalares será executado sob demanda, durante a vigência da Ata de Registro de Preços, mediante envio de Autorização de Fornecimento pela Administração, a qual conterá a descrição dos materiais, os quantitativos, o local de entrega e demais informações necessárias.</w:t>
      </w:r>
    </w:p>
    <w:p w14:paraId="7DA87298">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hint="default" w:ascii="Arial" w:hAnsi="Arial" w:eastAsia="Times New Roman"/>
          <w:sz w:val="17"/>
          <w:szCs w:val="17"/>
        </w:rPr>
      </w:pPr>
      <w:r>
        <w:rPr>
          <w:rFonts w:hint="default" w:ascii="Arial" w:hAnsi="Arial"/>
          <w:sz w:val="17"/>
          <w:szCs w:val="17"/>
          <w:lang w:val="pt-BR"/>
        </w:rPr>
        <w:t>2</w:t>
      </w:r>
      <w:r>
        <w:rPr>
          <w:rFonts w:hint="default" w:ascii="Arial" w:hAnsi="Arial" w:eastAsia="Times New Roman"/>
          <w:sz w:val="17"/>
          <w:szCs w:val="17"/>
        </w:rPr>
        <w:t>.2. A Contratada deverá atender integralmente à Autorização de Fornecimento emitida, respeitando os quantitativos, descrições e local indicados, não sendo admitido atendimento parcial do objeto solicitado.</w:t>
      </w:r>
    </w:p>
    <w:p w14:paraId="617BA3A6">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hint="default" w:ascii="Arial" w:hAnsi="Arial" w:eastAsia="Times New Roman"/>
          <w:sz w:val="17"/>
          <w:szCs w:val="17"/>
        </w:rPr>
      </w:pPr>
      <w:r>
        <w:rPr>
          <w:rFonts w:hint="default" w:ascii="Arial" w:hAnsi="Arial"/>
          <w:sz w:val="17"/>
          <w:szCs w:val="17"/>
          <w:lang w:val="pt-BR"/>
        </w:rPr>
        <w:t>2</w:t>
      </w:r>
      <w:r>
        <w:rPr>
          <w:rFonts w:hint="default" w:ascii="Arial" w:hAnsi="Arial" w:eastAsia="Times New Roman"/>
          <w:sz w:val="17"/>
          <w:szCs w:val="17"/>
        </w:rPr>
        <w:t>.3. O prazo máximo para a entrega dos materiais será de até 15 (quinze) dias corridos, contados a partir do envio da Autorização de Fornecimento.</w:t>
      </w:r>
    </w:p>
    <w:p w14:paraId="404668BD">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hint="default" w:ascii="Arial" w:hAnsi="Arial" w:eastAsia="Times New Roman"/>
          <w:sz w:val="17"/>
          <w:szCs w:val="17"/>
        </w:rPr>
      </w:pPr>
      <w:r>
        <w:rPr>
          <w:rFonts w:hint="default" w:ascii="Arial" w:hAnsi="Arial"/>
          <w:sz w:val="17"/>
          <w:szCs w:val="17"/>
          <w:lang w:val="pt-BR"/>
        </w:rPr>
        <w:t>2</w:t>
      </w:r>
      <w:r>
        <w:rPr>
          <w:rFonts w:hint="default" w:ascii="Arial" w:hAnsi="Arial" w:eastAsia="Times New Roman"/>
          <w:sz w:val="17"/>
          <w:szCs w:val="17"/>
        </w:rPr>
        <w:t>.4. Caso não seja possível a entrega dos materiais no prazo estabelecido, a Contratada deverá comunicar formalmente à Administração, apresentando as devidas justificativas, com antecedência mínima de 02 (dois) dias, para fins de análise e eventual autorização de prorrogação de prazo.</w:t>
      </w:r>
    </w:p>
    <w:p w14:paraId="55EEDDE7">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hint="default" w:ascii="Arial" w:hAnsi="Arial" w:eastAsia="Times New Roman"/>
          <w:sz w:val="17"/>
          <w:szCs w:val="17"/>
        </w:rPr>
      </w:pPr>
      <w:r>
        <w:rPr>
          <w:rFonts w:hint="default" w:ascii="Arial" w:hAnsi="Arial"/>
          <w:sz w:val="17"/>
          <w:szCs w:val="17"/>
          <w:lang w:val="pt-BR"/>
        </w:rPr>
        <w:t>2</w:t>
      </w:r>
      <w:r>
        <w:rPr>
          <w:rFonts w:hint="default" w:ascii="Arial" w:hAnsi="Arial" w:eastAsia="Times New Roman"/>
          <w:sz w:val="17"/>
          <w:szCs w:val="17"/>
        </w:rPr>
        <w:t>.5. Os materiais entregues que não atenderem às especificações técnicas exigidas neste Termo de Referência não serão aceitos, devendo a Contratada proceder à substituição no prazo máximo de 05 (cinco) dias, sem ônus adicional para a Administração.</w:t>
      </w:r>
    </w:p>
    <w:p w14:paraId="5EB49FB5">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hint="default" w:ascii="Arial" w:hAnsi="Arial" w:eastAsia="Times New Roman"/>
          <w:sz w:val="17"/>
          <w:szCs w:val="17"/>
        </w:rPr>
      </w:pPr>
      <w:r>
        <w:rPr>
          <w:rFonts w:hint="default" w:ascii="Arial" w:hAnsi="Arial"/>
          <w:sz w:val="17"/>
          <w:szCs w:val="17"/>
          <w:lang w:val="pt-BR"/>
        </w:rPr>
        <w:t>2</w:t>
      </w:r>
      <w:r>
        <w:rPr>
          <w:rFonts w:hint="default" w:ascii="Arial" w:hAnsi="Arial" w:eastAsia="Times New Roman"/>
          <w:sz w:val="17"/>
          <w:szCs w:val="17"/>
        </w:rPr>
        <w:t>.6. A entrega dos materiais deverá ser formalizada mediante apresentação de nota fiscal correspondente, acompanhada, quando aplicável, da documentação pertinente.</w:t>
      </w:r>
    </w:p>
    <w:p w14:paraId="6BFDAE73">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hint="default" w:ascii="Arial" w:hAnsi="Arial" w:eastAsia="Times New Roman"/>
          <w:sz w:val="17"/>
          <w:szCs w:val="17"/>
        </w:rPr>
      </w:pPr>
      <w:r>
        <w:rPr>
          <w:rFonts w:hint="default" w:ascii="Arial" w:hAnsi="Arial"/>
          <w:sz w:val="17"/>
          <w:szCs w:val="17"/>
          <w:lang w:val="pt-BR"/>
        </w:rPr>
        <w:t>2</w:t>
      </w:r>
      <w:r>
        <w:rPr>
          <w:rFonts w:hint="default" w:ascii="Arial" w:hAnsi="Arial" w:eastAsia="Times New Roman"/>
          <w:sz w:val="17"/>
          <w:szCs w:val="17"/>
        </w:rPr>
        <w:t>.7. A entrega dos materiais deverá ocorrer no horário compreendido entre 07h00 e 16h00, exclusivamente em dias úteis, salvo autorização expressa da Administração.</w:t>
      </w:r>
    </w:p>
    <w:p w14:paraId="07EF21D8">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hint="default" w:ascii="Arial" w:hAnsi="Arial" w:eastAsia="Arial-BoldMT" w:cs="Arial"/>
          <w:b w:val="0"/>
          <w:bCs w:val="0"/>
          <w:color w:val="000000"/>
          <w:sz w:val="17"/>
          <w:szCs w:val="17"/>
          <w:lang w:val="en-US" w:eastAsia="pt-BR"/>
        </w:rPr>
        <w:t>2.8</w:t>
      </w:r>
      <w:r>
        <w:rPr>
          <w:rFonts w:ascii="Arial" w:hAnsi="Arial" w:eastAsia="Arial-BoldMT" w:cs="Arial"/>
          <w:b w:val="0"/>
          <w:bCs w:val="0"/>
          <w:color w:val="000000"/>
          <w:sz w:val="17"/>
          <w:szCs w:val="17"/>
          <w:lang w:eastAsia="pt-BR"/>
        </w:rPr>
        <w:t xml:space="preserve"> A </w:t>
      </w:r>
      <w:r>
        <w:rPr>
          <w:rFonts w:ascii="Arial" w:hAnsi="Arial" w:eastAsia="Arial-BoldMT" w:cs="Arial"/>
          <w:bCs/>
          <w:color w:val="000000"/>
          <w:sz w:val="17"/>
          <w:szCs w:val="17"/>
          <w:lang w:eastAsia="pt-BR"/>
        </w:rPr>
        <w:t>aquisição de materiais médicos e hospitalares deverá atender aos seguintes requisitos:</w:t>
      </w:r>
    </w:p>
    <w:p w14:paraId="76CE281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val="0"/>
          <w:bCs w:val="0"/>
          <w:color w:val="000000"/>
          <w:sz w:val="17"/>
          <w:szCs w:val="17"/>
          <w:lang w:eastAsia="pt-BR"/>
        </w:rPr>
      </w:pPr>
      <w:r>
        <w:rPr>
          <w:rFonts w:ascii="Arial" w:hAnsi="Arial" w:eastAsia="Arial-BoldMT" w:cs="Arial"/>
          <w:b w:val="0"/>
          <w:bCs w:val="0"/>
          <w:color w:val="000000"/>
          <w:sz w:val="17"/>
          <w:szCs w:val="17"/>
          <w:lang w:eastAsia="pt-BR"/>
        </w:rPr>
        <w:t>a) Qualidade e segurança: Os produtos deverão ser provenientes de fabricantes idôneos, com comprovação de qualidade, segurança e eficácia.</w:t>
      </w:r>
    </w:p>
    <w:p w14:paraId="4DF886D0">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val="0"/>
          <w:bCs w:val="0"/>
          <w:color w:val="000000"/>
          <w:sz w:val="17"/>
          <w:szCs w:val="17"/>
          <w:lang w:eastAsia="pt-BR"/>
        </w:rPr>
      </w:pPr>
      <w:r>
        <w:rPr>
          <w:rFonts w:ascii="Arial" w:hAnsi="Arial" w:eastAsia="Arial-BoldMT" w:cs="Arial"/>
          <w:b w:val="0"/>
          <w:bCs w:val="0"/>
          <w:color w:val="000000"/>
          <w:sz w:val="17"/>
          <w:szCs w:val="17"/>
          <w:lang w:eastAsia="pt-BR"/>
        </w:rPr>
        <w:t>b) Diversidade de itens: A contratação deverá abranger uma variedade de materiais, conforme as necessidades dos diferentes setores da saúde.</w:t>
      </w:r>
    </w:p>
    <w:p w14:paraId="14ABEB84">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val="0"/>
          <w:bCs w:val="0"/>
          <w:color w:val="000000"/>
          <w:sz w:val="17"/>
          <w:szCs w:val="17"/>
          <w:lang w:eastAsia="pt-BR"/>
        </w:rPr>
      </w:pPr>
      <w:r>
        <w:rPr>
          <w:rFonts w:ascii="Arial" w:hAnsi="Arial" w:eastAsia="Arial-BoldMT" w:cs="Arial"/>
          <w:b w:val="0"/>
          <w:bCs w:val="0"/>
          <w:color w:val="000000"/>
          <w:sz w:val="17"/>
          <w:szCs w:val="17"/>
          <w:lang w:eastAsia="pt-BR"/>
        </w:rPr>
        <w:t>c) Prazo de entrega: Os materiais deverão ser entregues no prazo de até 15 (quinze) dias corridos, contados a partir da data de recebimento da Solicitação de Fornecimento, evitando o desabastecimento que possa comprometer o atendimento à população.</w:t>
      </w:r>
    </w:p>
    <w:p w14:paraId="06E5E86E">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val="0"/>
          <w:bCs w:val="0"/>
          <w:color w:val="000000"/>
          <w:sz w:val="17"/>
          <w:szCs w:val="17"/>
          <w:lang w:eastAsia="pt-BR"/>
        </w:rPr>
      </w:pPr>
      <w:r>
        <w:rPr>
          <w:rFonts w:ascii="Arial" w:hAnsi="Arial" w:eastAsia="Arial-BoldMT" w:cs="Arial"/>
          <w:b w:val="0"/>
          <w:bCs w:val="0"/>
          <w:color w:val="000000"/>
          <w:sz w:val="17"/>
          <w:szCs w:val="17"/>
          <w:lang w:eastAsia="pt-BR"/>
        </w:rPr>
        <w:t>d) Armazenamento e distribuição: Os produtos deverão ser entregues em condições adequadas de conservação, de acordo com as especificações técnicas dos fabricantes e normas vigentes.</w:t>
      </w:r>
    </w:p>
    <w:p w14:paraId="7A937B19">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bCs/>
          <w:color w:val="000000"/>
          <w:sz w:val="17"/>
          <w:szCs w:val="17"/>
          <w:lang w:eastAsia="pt-BR"/>
        </w:rPr>
      </w:pPr>
      <w:r>
        <w:rPr>
          <w:rFonts w:ascii="Arial" w:hAnsi="Arial" w:eastAsia="Arial-BoldMT" w:cs="Arial"/>
          <w:b w:val="0"/>
          <w:bCs w:val="0"/>
          <w:color w:val="000000"/>
          <w:sz w:val="17"/>
          <w:szCs w:val="17"/>
          <w:lang w:eastAsia="pt-BR"/>
        </w:rPr>
        <w:t>e) Preç</w:t>
      </w:r>
      <w:r>
        <w:rPr>
          <w:rFonts w:ascii="Arial" w:hAnsi="Arial" w:eastAsia="Arial-BoldMT" w:cs="Arial"/>
          <w:bCs/>
          <w:color w:val="000000"/>
          <w:sz w:val="17"/>
          <w:szCs w:val="17"/>
          <w:lang w:eastAsia="pt-BR"/>
        </w:rPr>
        <w:t>o e economicidade: A contratação será realizada com base no menor preço por item, garantindo a economicidade e a vantajosidade para a Administração Pública.</w:t>
      </w:r>
    </w:p>
    <w:p w14:paraId="3EDAEACC">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val="0"/>
          <w:bCs w:val="0"/>
          <w:color w:val="000000"/>
          <w:sz w:val="17"/>
          <w:szCs w:val="17"/>
          <w:lang w:val="en-US" w:eastAsia="pt-BR"/>
        </w:rPr>
      </w:pPr>
      <w:r>
        <w:rPr>
          <w:rFonts w:hint="default" w:ascii="Arial" w:hAnsi="Arial" w:eastAsia="Arial-BoldMT" w:cs="Arial"/>
          <w:b w:val="0"/>
          <w:bCs w:val="0"/>
          <w:color w:val="000000"/>
          <w:sz w:val="17"/>
          <w:szCs w:val="17"/>
          <w:lang w:val="en-US" w:eastAsia="pt-BR"/>
        </w:rPr>
        <w:t>2.9</w:t>
      </w:r>
      <w:r>
        <w:rPr>
          <w:rFonts w:ascii="Arial" w:hAnsi="Arial" w:eastAsia="Arial-BoldMT" w:cs="Arial"/>
          <w:b w:val="0"/>
          <w:bCs w:val="0"/>
          <w:color w:val="000000"/>
          <w:sz w:val="17"/>
          <w:szCs w:val="17"/>
          <w:lang w:eastAsia="pt-BR"/>
        </w:rPr>
        <w:t xml:space="preserve"> Sustentabilidade</w:t>
      </w:r>
      <w:r>
        <w:rPr>
          <w:rFonts w:ascii="Arial" w:hAnsi="Arial" w:eastAsia="Arial-BoldMT" w:cs="Arial"/>
          <w:b w:val="0"/>
          <w:bCs w:val="0"/>
          <w:color w:val="000000"/>
          <w:sz w:val="17"/>
          <w:szCs w:val="17"/>
          <w:lang w:val="en-US" w:eastAsia="pt-BR"/>
        </w:rPr>
        <w:t>:</w:t>
      </w:r>
    </w:p>
    <w:p w14:paraId="66D2BF4F">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val="0"/>
          <w:bCs w:val="0"/>
          <w:color w:val="000000"/>
          <w:sz w:val="17"/>
          <w:szCs w:val="17"/>
          <w:lang w:eastAsia="pt-BR"/>
        </w:rPr>
      </w:pPr>
      <w:r>
        <w:rPr>
          <w:rFonts w:hint="default" w:ascii="Arial" w:hAnsi="Arial" w:eastAsia="Arial-BoldMT" w:cs="Arial"/>
          <w:b w:val="0"/>
          <w:bCs w:val="0"/>
          <w:color w:val="000000"/>
          <w:sz w:val="17"/>
          <w:szCs w:val="17"/>
          <w:lang w:val="en-US" w:eastAsia="pt-BR"/>
        </w:rPr>
        <w:t>2.9</w:t>
      </w:r>
      <w:r>
        <w:rPr>
          <w:rFonts w:ascii="Arial" w:hAnsi="Arial" w:eastAsia="Arial-BoldMT" w:cs="Arial"/>
          <w:b w:val="0"/>
          <w:bCs w:val="0"/>
          <w:color w:val="000000"/>
          <w:sz w:val="17"/>
          <w:szCs w:val="17"/>
          <w:lang w:eastAsia="pt-BR"/>
        </w:rPr>
        <w:t>.1 Além dos critérios de sustentabilidade eventualmente inseridos na descrição do objeto, devem ser atendidos os seguintes requisitos, que se baseiam no Guia Nacional de Contratações Sustentáveis.</w:t>
      </w:r>
    </w:p>
    <w:p w14:paraId="36BAC8C7">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val="0"/>
          <w:bCs w:val="0"/>
          <w:color w:val="000000"/>
          <w:sz w:val="17"/>
          <w:szCs w:val="17"/>
          <w:lang w:val="en-US" w:eastAsia="pt-BR"/>
        </w:rPr>
      </w:pPr>
      <w:r>
        <w:rPr>
          <w:rFonts w:hint="default" w:ascii="Arial" w:hAnsi="Arial" w:eastAsia="Arial-BoldMT" w:cs="Arial"/>
          <w:b w:val="0"/>
          <w:bCs w:val="0"/>
          <w:color w:val="000000"/>
          <w:sz w:val="17"/>
          <w:szCs w:val="17"/>
          <w:lang w:val="en-US" w:eastAsia="pt-BR"/>
        </w:rPr>
        <w:t>2.10</w:t>
      </w:r>
      <w:r>
        <w:rPr>
          <w:rFonts w:ascii="Arial" w:hAnsi="Arial" w:eastAsia="Arial-BoldMT" w:cs="Arial"/>
          <w:b w:val="0"/>
          <w:bCs w:val="0"/>
          <w:color w:val="000000"/>
          <w:sz w:val="17"/>
          <w:szCs w:val="17"/>
          <w:lang w:eastAsia="pt-BR"/>
        </w:rPr>
        <w:t xml:space="preserve"> Subcontratação</w:t>
      </w:r>
      <w:r>
        <w:rPr>
          <w:rFonts w:ascii="Arial" w:hAnsi="Arial" w:eastAsia="Arial-BoldMT" w:cs="Arial"/>
          <w:b w:val="0"/>
          <w:bCs w:val="0"/>
          <w:color w:val="000000"/>
          <w:sz w:val="17"/>
          <w:szCs w:val="17"/>
          <w:lang w:val="en-US" w:eastAsia="pt-BR"/>
        </w:rPr>
        <w:t>:</w:t>
      </w:r>
    </w:p>
    <w:p w14:paraId="6E7A2E0A">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val="0"/>
          <w:bCs w:val="0"/>
          <w:color w:val="000000"/>
          <w:sz w:val="17"/>
          <w:szCs w:val="17"/>
          <w:lang w:val="en-US" w:eastAsia="pt-BR"/>
        </w:rPr>
      </w:pPr>
      <w:r>
        <w:rPr>
          <w:rFonts w:hint="default" w:ascii="Arial" w:hAnsi="Arial" w:eastAsia="Arial-BoldMT" w:cs="Arial"/>
          <w:b w:val="0"/>
          <w:bCs w:val="0"/>
          <w:color w:val="000000"/>
          <w:sz w:val="17"/>
          <w:szCs w:val="17"/>
          <w:lang w:val="en-US" w:eastAsia="pt-BR"/>
        </w:rPr>
        <w:t>2.10</w:t>
      </w:r>
      <w:r>
        <w:rPr>
          <w:rFonts w:ascii="Arial" w:hAnsi="Arial" w:eastAsia="Arial-BoldMT" w:cs="Arial"/>
          <w:b w:val="0"/>
          <w:bCs w:val="0"/>
          <w:color w:val="000000"/>
          <w:sz w:val="17"/>
          <w:szCs w:val="17"/>
          <w:lang w:eastAsia="pt-BR"/>
        </w:rPr>
        <w:t>.1 É vedada a subcontratação</w:t>
      </w:r>
      <w:r>
        <w:rPr>
          <w:rFonts w:ascii="Arial" w:hAnsi="Arial" w:eastAsia="Arial-BoldMT" w:cs="Arial"/>
          <w:b w:val="0"/>
          <w:bCs w:val="0"/>
          <w:color w:val="000000"/>
          <w:sz w:val="17"/>
          <w:szCs w:val="17"/>
          <w:lang w:val="en-US" w:eastAsia="pt-BR"/>
        </w:rPr>
        <w:t>.</w:t>
      </w:r>
    </w:p>
    <w:p w14:paraId="3500CBE6">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 w:val="0"/>
          <w:bCs w:val="0"/>
          <w:color w:val="000000"/>
          <w:sz w:val="17"/>
          <w:szCs w:val="17"/>
          <w:lang w:val="en-US" w:eastAsia="pt-BR"/>
        </w:rPr>
      </w:pPr>
      <w:r>
        <w:rPr>
          <w:rFonts w:hint="default" w:ascii="Arial" w:hAnsi="Arial" w:eastAsia="Arial-BoldMT" w:cs="Arial"/>
          <w:b w:val="0"/>
          <w:bCs w:val="0"/>
          <w:color w:val="000000"/>
          <w:sz w:val="17"/>
          <w:szCs w:val="17"/>
          <w:lang w:val="en-US" w:eastAsia="pt-BR"/>
        </w:rPr>
        <w:t xml:space="preserve">2.11 </w:t>
      </w:r>
      <w:r>
        <w:rPr>
          <w:rFonts w:ascii="Arial" w:hAnsi="Arial" w:eastAsia="Arial-BoldMT" w:cs="Arial"/>
          <w:b w:val="0"/>
          <w:bCs w:val="0"/>
          <w:color w:val="000000"/>
          <w:sz w:val="17"/>
          <w:szCs w:val="17"/>
          <w:lang w:eastAsia="pt-BR"/>
        </w:rPr>
        <w:t>Garantia da Contratação</w:t>
      </w:r>
      <w:r>
        <w:rPr>
          <w:rFonts w:ascii="Arial" w:hAnsi="Arial" w:eastAsia="Arial-BoldMT" w:cs="Arial"/>
          <w:b w:val="0"/>
          <w:bCs w:val="0"/>
          <w:color w:val="000000"/>
          <w:sz w:val="17"/>
          <w:szCs w:val="17"/>
          <w:lang w:val="en-US" w:eastAsia="pt-BR"/>
        </w:rPr>
        <w:t>:</w:t>
      </w:r>
    </w:p>
    <w:p w14:paraId="7AED39ED">
      <w:pPr>
        <w:keepNext w:val="0"/>
        <w:keepLines w:val="0"/>
        <w:pageBreakBefore w:val="0"/>
        <w:widowControl/>
        <w:suppressAutoHyphens/>
        <w:kinsoku/>
        <w:wordWrap/>
        <w:overflowPunct/>
        <w:topLinePunct w:val="0"/>
        <w:autoSpaceDE/>
        <w:autoSpaceDN/>
        <w:bidi w:val="0"/>
        <w:adjustRightInd/>
        <w:snapToGrid w:val="0"/>
        <w:spacing w:line="240" w:lineRule="auto"/>
        <w:ind w:left="0" w:leftChars="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cs="Arial"/>
          <w:bCs/>
          <w:color w:val="000000"/>
          <w:sz w:val="17"/>
          <w:szCs w:val="17"/>
          <w:lang w:val="en-US" w:eastAsia="pt-BR"/>
        </w:rPr>
        <w:t>2.11.1</w:t>
      </w:r>
      <w:r>
        <w:rPr>
          <w:rFonts w:ascii="Arial" w:hAnsi="Arial" w:eastAsia="Arial-BoldMT" w:cs="Arial"/>
          <w:bCs/>
          <w:color w:val="000000"/>
          <w:sz w:val="17"/>
          <w:szCs w:val="17"/>
          <w:lang w:eastAsia="pt-BR"/>
        </w:rPr>
        <w:t xml:space="preserve"> Não será exigida garantia de execução da contratação para esse objeto.</w:t>
      </w:r>
    </w:p>
    <w:p w14:paraId="4AB3C1D1">
      <w:pPr>
        <w:pStyle w:val="305"/>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sz w:val="17"/>
          <w:szCs w:val="17"/>
        </w:rPr>
      </w:pPr>
    </w:p>
    <w:p w14:paraId="1DA3F1FB">
      <w:pPr>
        <w:pStyle w:val="305"/>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b/>
          <w:bCs/>
          <w:sz w:val="17"/>
          <w:szCs w:val="17"/>
        </w:rPr>
      </w:pPr>
      <w:r>
        <w:rPr>
          <w:rFonts w:hint="default" w:ascii="Arial" w:hAnsi="Arial" w:cs="Arial"/>
          <w:b/>
          <w:bCs/>
          <w:sz w:val="17"/>
          <w:szCs w:val="17"/>
        </w:rPr>
        <w:t xml:space="preserve">CLÁUSULA TERCEIRA </w:t>
      </w:r>
      <w:r>
        <w:rPr>
          <w:rFonts w:hint="default" w:cs="Arial"/>
          <w:b/>
          <w:bCs/>
          <w:sz w:val="17"/>
          <w:szCs w:val="17"/>
          <w:lang w:val="pt-BR"/>
        </w:rPr>
        <w:t>-</w:t>
      </w:r>
      <w:r>
        <w:rPr>
          <w:rFonts w:hint="default" w:ascii="Arial" w:hAnsi="Arial" w:cs="Arial"/>
          <w:b/>
          <w:bCs/>
          <w:sz w:val="17"/>
          <w:szCs w:val="17"/>
        </w:rPr>
        <w:t xml:space="preserve"> DA VALIDADE, FORMALIZAÇÃO DA ATA DE REGISTRO DE PREÇOS E CADASTRO RESERVA</w:t>
      </w:r>
    </w:p>
    <w:p w14:paraId="542840D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b w:val="0"/>
          <w:bCs w:val="0"/>
          <w:sz w:val="17"/>
          <w:szCs w:val="17"/>
          <w:lang w:val="pt-BR"/>
        </w:rPr>
      </w:pPr>
      <w:r>
        <w:rPr>
          <w:rFonts w:hint="default" w:ascii="Arial" w:hAnsi="Arial" w:cs="Arial"/>
          <w:b w:val="0"/>
          <w:bCs w:val="0"/>
          <w:sz w:val="17"/>
          <w:szCs w:val="17"/>
        </w:rPr>
        <w:t>3.1. A presente Ata de Registro de Preços terá a validade de 12 (doze) meses, a partir d</w:t>
      </w:r>
      <w:r>
        <w:rPr>
          <w:rFonts w:hint="default" w:ascii="Arial" w:hAnsi="Arial" w:cs="Arial"/>
          <w:b w:val="0"/>
          <w:bCs w:val="0"/>
          <w:sz w:val="17"/>
          <w:szCs w:val="17"/>
          <w:lang w:val="pt-BR"/>
        </w:rPr>
        <w:t>e _____________ e término em __________________ podendo ser prorrogado conforme Lei Federal 14.133/2021.</w:t>
      </w:r>
    </w:p>
    <w:p w14:paraId="362A8DCD">
      <w:pPr>
        <w:spacing w:line="240" w:lineRule="auto"/>
        <w:jc w:val="both"/>
        <w:rPr>
          <w:rFonts w:hint="default" w:ascii="Arial" w:hAnsi="Arial" w:cs="Arial"/>
          <w:b/>
          <w:bCs/>
          <w:sz w:val="17"/>
          <w:szCs w:val="17"/>
        </w:rPr>
      </w:pPr>
      <w:r>
        <w:rPr>
          <w:rFonts w:hint="default" w:ascii="Arial" w:hAnsi="Arial" w:cs="Arial"/>
          <w:b w:val="0"/>
          <w:bCs w:val="0"/>
          <w:sz w:val="17"/>
          <w:szCs w:val="17"/>
        </w:rPr>
        <w:t>3.2. Durante o prazo de validade desta Ata de Registro de Preços, o Município de Cataguases não será obrigado a adquirir o serv</w:t>
      </w:r>
      <w:r>
        <w:rPr>
          <w:rFonts w:hint="default" w:ascii="Arial" w:hAnsi="Arial" w:cs="Arial"/>
          <w:bCs/>
          <w:sz w:val="17"/>
          <w:szCs w:val="17"/>
        </w:rPr>
        <w:t>iço referido na Cláusula Primeira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14:paraId="2BCCDE44">
      <w:pPr>
        <w:spacing w:line="240" w:lineRule="auto"/>
        <w:jc w:val="both"/>
        <w:rPr>
          <w:rFonts w:hint="default" w:ascii="Arial" w:hAnsi="Arial" w:cs="Arial"/>
          <w:b/>
          <w:bCs/>
          <w:sz w:val="17"/>
          <w:szCs w:val="17"/>
        </w:rPr>
      </w:pPr>
    </w:p>
    <w:p w14:paraId="124C79B1">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QUARTA - DA UTILIZAÇÃO DA ATA DE REGISTRO DE PREÇOS </w:t>
      </w:r>
    </w:p>
    <w:p w14:paraId="5F637550">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CE6D753">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4.1.1 apresentação de justificativa da vantagem da adesão, inclusive em situações de provável desabastecimento ou descontinuidade de serviço público;</w:t>
      </w:r>
    </w:p>
    <w:p w14:paraId="41B75744">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4.1.2 demonstração de que os valores registrados estão compatíveis com os valores praticados pelo mercado na forma do art. 23 da Lei nº 14.133, de 2021; e</w:t>
      </w:r>
    </w:p>
    <w:p w14:paraId="774E02CC">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4.1.3 consulta e aceitação prévias do órgão ou da entidade gerenciadora e do fornecedor.</w:t>
      </w:r>
    </w:p>
    <w:p w14:paraId="123E8380">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4.2 A autorização do órgão ou entidade gerenciadora apenas será realizada após a aceitação da adesão pelo fornecedor.</w:t>
      </w:r>
    </w:p>
    <w:p w14:paraId="5BA56D5D">
      <w:pPr>
        <w:pStyle w:val="310"/>
        <w:numPr>
          <w:ilvl w:val="2"/>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4.3 O órgão ou entidade gerenciadora poderá rejeitar adesões caso elas possam acarretar prejuízo à execução de seus próprios contratos ou à sua capacidade de gerenciamento.</w:t>
      </w:r>
    </w:p>
    <w:p w14:paraId="146EBCA6">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4.4 Após a autorização do órgão ou da entidade gerenciadora, o órgão ou entidade não participante deverá efetivar a aquisição ou a contratação solicitada em até noventa dias, observado o prazo de vigência da ata.</w:t>
      </w:r>
    </w:p>
    <w:p w14:paraId="19458769">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4.5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23A1F4E">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4.6 O órgão ou a entidade poderá aderir a item da ata de registro de preços da qual seja integrante, na qualidade de não participante, para aqueles itens para os quais não tenha quantitativo registrado, observados os requisitos do item 4.1.</w:t>
      </w:r>
    </w:p>
    <w:p w14:paraId="244C32F2">
      <w:pPr>
        <w:pStyle w:val="322"/>
        <w:spacing w:before="0" w:after="0" w:line="240" w:lineRule="auto"/>
        <w:rPr>
          <w:rFonts w:hint="default" w:ascii="Arial" w:hAnsi="Arial" w:cs="Arial"/>
          <w:b w:val="0"/>
          <w:bCs w:val="0"/>
          <w:iCs w:val="0"/>
          <w:sz w:val="17"/>
          <w:szCs w:val="17"/>
        </w:rPr>
      </w:pPr>
      <w:r>
        <w:rPr>
          <w:rFonts w:hint="default" w:ascii="Arial" w:hAnsi="Arial" w:cs="Arial"/>
          <w:b w:val="0"/>
          <w:bCs w:val="0"/>
          <w:iCs w:val="0"/>
          <w:sz w:val="17"/>
          <w:szCs w:val="17"/>
        </w:rPr>
        <w:t>4.7 Dos limites para as adesões</w:t>
      </w:r>
    </w:p>
    <w:p w14:paraId="2D1A7A42">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4.7.1 As aquisições ou contratações adicionais não poderão exceder, por órgão ou entidade, a cinquenta por cento dos quantitativos dos itens do instrumento convocatório registrados na ata de registro de preços para o gerenciador e para os participantes.</w:t>
      </w:r>
    </w:p>
    <w:p w14:paraId="5BC2CB06">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CC0C548">
      <w:pPr>
        <w:pStyle w:val="320"/>
        <w:numPr>
          <w:ilvl w:val="1"/>
          <w:numId w:val="0"/>
        </w:numPr>
        <w:spacing w:before="0" w:after="0" w:line="240" w:lineRule="auto"/>
        <w:rPr>
          <w:rFonts w:hint="default" w:ascii="Arial" w:hAnsi="Arial" w:cs="Arial"/>
          <w:b w:val="0"/>
          <w:bCs w:val="0"/>
          <w:i w:val="0"/>
          <w:iCs w:val="0"/>
          <w:color w:val="auto"/>
          <w:sz w:val="17"/>
          <w:szCs w:val="17"/>
        </w:rPr>
      </w:pPr>
      <w:r>
        <w:rPr>
          <w:rFonts w:hint="default" w:ascii="Arial" w:hAnsi="Arial" w:cs="Arial"/>
          <w:b w:val="0"/>
          <w:bCs w:val="0"/>
          <w:i w:val="0"/>
          <w:iCs w:val="0"/>
          <w:color w:val="auto"/>
          <w:sz w:val="17"/>
          <w:szCs w:val="17"/>
        </w:rPr>
        <w:t>4.7.3 Para aquisição emergencial de medicamentos e material de consumo médico-hospitalar por órgãos e en</w:t>
      </w:r>
      <w:r>
        <w:rPr>
          <w:rFonts w:hint="default" w:ascii="Arial" w:hAnsi="Arial" w:eastAsia="Arial" w:cs="Arial"/>
          <w:b w:val="0"/>
          <w:bCs w:val="0"/>
          <w:i w:val="0"/>
          <w:iCs w:val="0"/>
          <w:color w:val="auto"/>
          <w:sz w:val="17"/>
          <w:szCs w:val="17"/>
        </w:rPr>
        <w:t>ti</w:t>
      </w:r>
      <w:r>
        <w:rPr>
          <w:rFonts w:hint="default" w:ascii="Arial" w:hAnsi="Arial" w:cs="Arial"/>
          <w:b w:val="0"/>
          <w:bCs w:val="0"/>
          <w:i w:val="0"/>
          <w:iCs w:val="0"/>
          <w:color w:val="auto"/>
          <w:sz w:val="17"/>
          <w:szCs w:val="17"/>
        </w:rPr>
        <w:t>dades da Administração Pública federal, estadual, distrital e municipal, a adesão à ata de registro de preços gerenciada pelo Ministério da Saúde não estará sujeita ao limite previsto no item 4.7.</w:t>
      </w:r>
    </w:p>
    <w:p w14:paraId="673AC302">
      <w:pPr>
        <w:pStyle w:val="303"/>
        <w:spacing w:before="0" w:after="0" w:line="240" w:lineRule="auto"/>
        <w:rPr>
          <w:rFonts w:hint="default" w:ascii="Arial" w:hAnsi="Arial" w:cs="Arial"/>
          <w:b w:val="0"/>
          <w:bCs w:val="0"/>
          <w:color w:val="auto"/>
          <w:sz w:val="17"/>
          <w:szCs w:val="17"/>
        </w:rPr>
      </w:pPr>
      <w:r>
        <w:rPr>
          <w:rFonts w:hint="default" w:ascii="Arial" w:hAnsi="Arial" w:cs="Arial"/>
          <w:b w:val="0"/>
          <w:bCs w:val="0"/>
          <w:color w:val="auto"/>
          <w:sz w:val="17"/>
          <w:szCs w:val="17"/>
        </w:rPr>
        <w:t>4.7.4 A adesão à ata de registro de preços por órgãos e en</w:t>
      </w:r>
      <w:r>
        <w:rPr>
          <w:rFonts w:hint="default" w:ascii="Arial" w:hAnsi="Arial" w:eastAsia="Arial" w:cs="Arial"/>
          <w:b w:val="0"/>
          <w:bCs w:val="0"/>
          <w:color w:val="auto"/>
          <w:sz w:val="17"/>
          <w:szCs w:val="17"/>
        </w:rPr>
        <w:t>ti</w:t>
      </w:r>
      <w:r>
        <w:rPr>
          <w:rFonts w:hint="default" w:ascii="Arial" w:hAnsi="Arial" w:cs="Arial"/>
          <w:b w:val="0"/>
          <w:bCs w:val="0"/>
          <w:color w:val="auto"/>
          <w:sz w:val="17"/>
          <w:szCs w:val="17"/>
        </w:rPr>
        <w:t>dades da Administração Pública estadual, distrital e municipal poderá ser exigida para fins de transferências voluntárias, não ficando sujeita ao limite de que trata o item 4.7, desde que seja des</w:t>
      </w:r>
      <w:r>
        <w:rPr>
          <w:rFonts w:hint="default" w:ascii="Arial" w:hAnsi="Arial" w:eastAsia="Arial" w:cs="Arial"/>
          <w:b w:val="0"/>
          <w:bCs w:val="0"/>
          <w:color w:val="auto"/>
          <w:sz w:val="17"/>
          <w:szCs w:val="17"/>
        </w:rPr>
        <w:t>tinta</w:t>
      </w:r>
      <w:r>
        <w:rPr>
          <w:rFonts w:hint="default" w:ascii="Arial" w:hAnsi="Arial" w:cs="Arial"/>
          <w:b w:val="0"/>
          <w:bCs w:val="0"/>
          <w:color w:val="auto"/>
          <w:sz w:val="17"/>
          <w:szCs w:val="17"/>
        </w:rPr>
        <w:t>da à execução descentralizada de programa ou projeto federal e comprovada a compatibilidade dos preços registrados com os valores praticados no mercado na forma do art. 23 da Lei nº 14.133, de 2021.</w:t>
      </w:r>
    </w:p>
    <w:p w14:paraId="461F91D8">
      <w:pPr>
        <w:pStyle w:val="303"/>
        <w:spacing w:before="0" w:after="0" w:line="240" w:lineRule="auto"/>
        <w:rPr>
          <w:rFonts w:hint="default" w:ascii="Arial" w:hAnsi="Arial" w:cs="Arial"/>
          <w:b w:val="0"/>
          <w:bCs w:val="0"/>
          <w:sz w:val="17"/>
          <w:szCs w:val="17"/>
        </w:rPr>
      </w:pPr>
      <w:r>
        <w:rPr>
          <w:rFonts w:hint="default" w:ascii="Arial" w:hAnsi="Arial" w:cs="Arial"/>
          <w:b w:val="0"/>
          <w:bCs w:val="0"/>
          <w:sz w:val="17"/>
          <w:szCs w:val="17"/>
        </w:rPr>
        <w:t>4.8 Vedação a acréscimo de quantitativos</w:t>
      </w:r>
    </w:p>
    <w:p w14:paraId="787C1C01">
      <w:pPr>
        <w:pStyle w:val="303"/>
        <w:spacing w:before="0" w:after="0" w:line="240" w:lineRule="auto"/>
        <w:rPr>
          <w:rFonts w:hint="default" w:ascii="Arial" w:hAnsi="Arial" w:cs="Arial"/>
          <w:b w:val="0"/>
          <w:bCs w:val="0"/>
          <w:sz w:val="17"/>
          <w:szCs w:val="17"/>
        </w:rPr>
      </w:pPr>
      <w:r>
        <w:rPr>
          <w:rFonts w:hint="default" w:ascii="Arial" w:hAnsi="Arial" w:cs="Arial"/>
          <w:b w:val="0"/>
          <w:bCs w:val="0"/>
          <w:sz w:val="17"/>
          <w:szCs w:val="17"/>
        </w:rPr>
        <w:t>4.8.1 É vedado efetuar acréscimos nos quantitativos fixados na ata de registro de preços.</w:t>
      </w:r>
    </w:p>
    <w:p w14:paraId="18CAC352">
      <w:pPr>
        <w:pStyle w:val="303"/>
        <w:spacing w:before="0" w:after="0" w:line="240" w:lineRule="auto"/>
        <w:rPr>
          <w:rFonts w:hint="default" w:ascii="Arial" w:hAnsi="Arial" w:cs="Arial"/>
          <w:b/>
          <w:bCs/>
          <w:color w:val="auto"/>
          <w:sz w:val="17"/>
          <w:szCs w:val="17"/>
          <w:lang w:val="pt-BR"/>
        </w:rPr>
      </w:pPr>
      <w:r>
        <w:rPr>
          <w:rFonts w:hint="default" w:ascii="Arial" w:hAnsi="Arial" w:cs="Arial"/>
          <w:b w:val="0"/>
          <w:bCs w:val="0"/>
          <w:color w:val="auto"/>
          <w:sz w:val="17"/>
          <w:szCs w:val="17"/>
        </w:rPr>
        <w:t xml:space="preserve">4.9 O valor ofertado pela empresa signatária da presente Ata de Registro de Preços é o especificado no objeto desta Ata </w:t>
      </w:r>
      <w:r>
        <w:rPr>
          <w:rFonts w:hint="default" w:ascii="Arial" w:hAnsi="Arial" w:eastAsia="Calibri" w:cs="Arial"/>
          <w:b w:val="0"/>
          <w:bCs w:val="0"/>
          <w:color w:val="auto"/>
          <w:sz w:val="17"/>
          <w:szCs w:val="17"/>
          <w:lang w:eastAsia="en-US"/>
        </w:rPr>
        <w:t xml:space="preserve">sobre </w:t>
      </w:r>
      <w:r>
        <w:rPr>
          <w:rFonts w:hint="default" w:ascii="Arial" w:hAnsi="Arial" w:eastAsia="Calibri" w:cs="Arial"/>
          <w:color w:val="auto"/>
          <w:sz w:val="17"/>
          <w:szCs w:val="17"/>
          <w:lang w:eastAsia="en-US"/>
        </w:rPr>
        <w:t xml:space="preserve">proposta apresentada no </w:t>
      </w:r>
      <w:r>
        <w:rPr>
          <w:rFonts w:hint="default" w:ascii="Arial" w:hAnsi="Arial" w:cs="Arial"/>
          <w:b/>
          <w:bCs/>
          <w:color w:val="auto"/>
          <w:sz w:val="17"/>
          <w:szCs w:val="17"/>
        </w:rPr>
        <w:t>PREGÃO ELETRÔNICO PARA REGISTRO DE PREÇOS nº.</w:t>
      </w:r>
      <w:r>
        <w:rPr>
          <w:rFonts w:hint="default" w:ascii="Arial" w:hAnsi="Arial" w:cs="Arial"/>
          <w:b/>
          <w:bCs/>
          <w:color w:val="auto"/>
          <w:sz w:val="17"/>
          <w:szCs w:val="17"/>
          <w:lang w:val="pt-BR"/>
        </w:rPr>
        <w:t xml:space="preserve"> </w:t>
      </w:r>
      <w:r>
        <w:rPr>
          <w:rFonts w:hint="default" w:cs="Arial"/>
          <w:b/>
          <w:bCs/>
          <w:color w:val="auto"/>
          <w:sz w:val="17"/>
          <w:szCs w:val="17"/>
          <w:lang w:val="pt-BR"/>
        </w:rPr>
        <w:t>004/2026</w:t>
      </w:r>
    </w:p>
    <w:p w14:paraId="23AAD81F">
      <w:pPr>
        <w:spacing w:line="240" w:lineRule="auto"/>
        <w:jc w:val="both"/>
        <w:rPr>
          <w:rFonts w:hint="default" w:ascii="Arial" w:hAnsi="Arial" w:cs="Arial"/>
          <w:b/>
          <w:bCs/>
          <w:sz w:val="17"/>
          <w:szCs w:val="17"/>
        </w:rPr>
      </w:pPr>
    </w:p>
    <w:p w14:paraId="4377122E">
      <w:pPr>
        <w:spacing w:line="240" w:lineRule="auto"/>
        <w:jc w:val="both"/>
        <w:rPr>
          <w:rFonts w:hint="default" w:ascii="Arial" w:hAnsi="Arial" w:cs="Arial"/>
          <w:b/>
          <w:bCs/>
          <w:sz w:val="17"/>
          <w:szCs w:val="17"/>
        </w:rPr>
      </w:pPr>
    </w:p>
    <w:p w14:paraId="22BB5AA0">
      <w:pPr>
        <w:spacing w:line="240" w:lineRule="auto"/>
        <w:jc w:val="both"/>
        <w:rPr>
          <w:rFonts w:hint="default" w:ascii="Arial" w:hAnsi="Arial" w:cs="Arial"/>
          <w:b/>
          <w:bCs/>
          <w:sz w:val="17"/>
          <w:szCs w:val="17"/>
        </w:rPr>
      </w:pPr>
    </w:p>
    <w:p w14:paraId="27E69D32">
      <w:pPr>
        <w:spacing w:line="240" w:lineRule="auto"/>
        <w:jc w:val="both"/>
        <w:rPr>
          <w:rFonts w:hint="default" w:ascii="Arial" w:hAnsi="Arial" w:cs="Arial"/>
          <w:b/>
          <w:bCs/>
          <w:sz w:val="17"/>
          <w:szCs w:val="17"/>
        </w:rPr>
      </w:pPr>
    </w:p>
    <w:p w14:paraId="2179CB6F">
      <w:pPr>
        <w:spacing w:line="240" w:lineRule="auto"/>
        <w:jc w:val="both"/>
        <w:rPr>
          <w:rFonts w:hint="default" w:ascii="Arial" w:hAnsi="Arial" w:cs="Arial"/>
          <w:b/>
          <w:bCs/>
          <w:sz w:val="17"/>
          <w:szCs w:val="17"/>
        </w:rPr>
      </w:pPr>
    </w:p>
    <w:p w14:paraId="2B7945C2">
      <w:pPr>
        <w:spacing w:line="240" w:lineRule="auto"/>
        <w:jc w:val="both"/>
        <w:rPr>
          <w:rFonts w:hint="default" w:ascii="Arial" w:hAnsi="Arial" w:cs="Arial"/>
          <w:b/>
          <w:sz w:val="17"/>
          <w:szCs w:val="17"/>
        </w:rPr>
      </w:pPr>
      <w:r>
        <w:rPr>
          <w:rFonts w:hint="default" w:ascii="Arial" w:hAnsi="Arial" w:cs="Arial"/>
          <w:b/>
          <w:bCs/>
          <w:sz w:val="17"/>
          <w:szCs w:val="17"/>
        </w:rPr>
        <w:t xml:space="preserve">CLÁUSULA QUINTA – </w:t>
      </w:r>
      <w:r>
        <w:rPr>
          <w:rFonts w:hint="default" w:ascii="Arial" w:hAnsi="Arial" w:cs="Arial"/>
          <w:b/>
          <w:sz w:val="17"/>
          <w:szCs w:val="17"/>
        </w:rPr>
        <w:t>OBRIGAÇÕES DAS PARTES</w:t>
      </w:r>
    </w:p>
    <w:p w14:paraId="7C8CBB50">
      <w:pPr>
        <w:pStyle w:val="220"/>
        <w:numPr>
          <w:ilvl w:val="2"/>
          <w:numId w:val="25"/>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Contratada:</w:t>
      </w:r>
    </w:p>
    <w:p w14:paraId="1D4578EA">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w:t>
      </w:r>
      <w:r>
        <w:rPr>
          <w:rFonts w:hint="default" w:ascii="Arial" w:hAnsi="Arial"/>
          <w:b w:val="0"/>
          <w:bCs/>
          <w:sz w:val="17"/>
          <w:szCs w:val="17"/>
          <w:lang w:val="pt-BR"/>
        </w:rPr>
        <w:t xml:space="preserve"> </w:t>
      </w:r>
      <w:r>
        <w:rPr>
          <w:rFonts w:hint="default" w:ascii="Arial" w:hAnsi="Arial"/>
          <w:b w:val="0"/>
          <w:bCs/>
          <w:sz w:val="17"/>
          <w:szCs w:val="17"/>
        </w:rPr>
        <w:t>A CONTRATADA deverá entregar, no local indicado, os produtos adquiridos no prazo de até 15 (quinze) dias corridos, contados a partir da data de recebimento da Solicitação de Fornecimento, devendo a entrega ocorrer no endereço informado pelo setor requisitante.</w:t>
      </w:r>
    </w:p>
    <w:p w14:paraId="318757F4">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.1.2. A CONTRATADA deverá fornecer o objeto conforme a descrição do produto licitado, nas quantidades discriminadas na Solicitação de Fornecimento previamente encaminhada.</w:t>
      </w:r>
    </w:p>
    <w:p w14:paraId="3BCC3B0E">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.1.3. A emissão do recebimento definitivo não eximirá a CONTRATADA de suas responsabilidades, nem invalidará ou comprometerá qualquer reclamação que o órgão contratante venha a formular, baseada na existência de produto inadequado, defeituoso ou em desacordo com as especificações.</w:t>
      </w:r>
    </w:p>
    <w:p w14:paraId="3258F01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.1.4. A CONTRATADA deverá arcar com todos os ônus referentes a transporte, frete, carga e descarga necessários à execução do objeto.</w:t>
      </w:r>
    </w:p>
    <w:p w14:paraId="693B63BB">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.1.5. A CONTRATADA deverá prestar todas as informações e esclarecimentos que lhe forem solicitados pela CONTRATANTE, relacionados à execução do objeto.</w:t>
      </w:r>
    </w:p>
    <w:p w14:paraId="14D0386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.1.6. Assumir integral responsabilidade pelos encargos fiscais, comerciais, trabalhistas, previdenciários e demais encargos decorrentes da adjudicação e da execução contratual.</w:t>
      </w:r>
    </w:p>
    <w:p w14:paraId="297F7715">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.1.7. Submeter-se à fiscalização da CONTRATANTE, por meio do setor competente, para verificação da qualidade dos itens fornecidos, podendo esta orientar, fiscalizar e intervir, ao seu exclusivo interesse, com a finalidade de garantir o fiel cumprimento das condições pactuadas.</w:t>
      </w:r>
    </w:p>
    <w:p w14:paraId="323D50BC">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.1.8. Reparar, corrigir, remover, reconstruir ou substituir, às suas expensas, no todo ou em parte, o objeto do contrato em que se verificarem vícios, defeitos, incorreções ou não conformidades resultantes da entrega.</w:t>
      </w:r>
    </w:p>
    <w:p w14:paraId="0DA3AD86">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.1.9. Manter, durante toda a vigência do contrato, em compatibilidade com as obrigações assumidas, todas as condições de habilitação e qualificação exigidas na licitação, devendo comunicar imediatamente à CONTRATANTE qualquer alteração que possa comprometer a manutenção da contratação, bem como substituir documentos com prazo de validade expirado.</w:t>
      </w:r>
    </w:p>
    <w:p w14:paraId="535BFC4F">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.1.10. Efetuar a entrega do objeto em perfeitas condições, conforme especificações, prazos e locais estabelecidos neste Termo de Referência e seus anexos, acompanhado da respectiva nota fiscal, na qual deverão constar, no mínimo, as seguintes informações: marca, fabricante, modelo (quando aplicável), procedência e prazo de garantia ou validade.</w:t>
      </w:r>
    </w:p>
    <w:p w14:paraId="4A36BACE">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5</w:t>
      </w:r>
      <w:r>
        <w:rPr>
          <w:rFonts w:hint="default" w:ascii="Arial" w:hAnsi="Arial"/>
          <w:b w:val="0"/>
          <w:bCs/>
          <w:sz w:val="17"/>
          <w:szCs w:val="17"/>
        </w:rPr>
        <w:t>.1.11. Comunicar imediatamente à CONTRATANTE qualquer anormalidade de caráter urgente e prestar os esclarecimentos que se fizerem necessários.</w:t>
      </w:r>
    </w:p>
    <w:p w14:paraId="721F8386">
      <w:pPr>
        <w:numPr>
          <w:ilvl w:val="0"/>
          <w:numId w:val="0"/>
        </w:numPr>
        <w:tabs>
          <w:tab w:val="left" w:pos="480"/>
        </w:tabs>
        <w:spacing w:line="240" w:lineRule="auto"/>
        <w:ind w:leftChars="0"/>
        <w:jc w:val="both"/>
        <w:rPr>
          <w:rFonts w:hint="default" w:ascii="Arial" w:hAnsi="Arial"/>
          <w:b w:val="0"/>
          <w:bCs/>
          <w:sz w:val="17"/>
          <w:szCs w:val="17"/>
          <w:lang w:val="pt-BR"/>
        </w:rPr>
      </w:pPr>
      <w:r>
        <w:rPr>
          <w:rFonts w:hint="default" w:ascii="Arial" w:hAnsi="Arial"/>
          <w:b w:val="0"/>
          <w:bCs/>
          <w:sz w:val="17"/>
          <w:szCs w:val="17"/>
          <w:lang w:val="pt-BR"/>
        </w:rPr>
        <w:t>5</w:t>
      </w:r>
      <w:r>
        <w:rPr>
          <w:rFonts w:hint="default" w:ascii="Arial" w:hAnsi="Arial"/>
          <w:b w:val="0"/>
          <w:bCs/>
          <w:sz w:val="17"/>
          <w:szCs w:val="17"/>
        </w:rPr>
        <w:t>.1.12. Fazer constar na nota fiscal o número da Solicitação de Fornecimento e/ou o número do empenho correspondente ao fornecimento realizado.</w:t>
      </w:r>
    </w:p>
    <w:p w14:paraId="76E83863">
      <w:pPr>
        <w:numPr>
          <w:ilvl w:val="0"/>
          <w:numId w:val="0"/>
        </w:numPr>
        <w:tabs>
          <w:tab w:val="left" w:pos="480"/>
        </w:tabs>
        <w:spacing w:line="240" w:lineRule="auto"/>
        <w:ind w:leftChars="0"/>
        <w:jc w:val="both"/>
        <w:rPr>
          <w:rFonts w:hint="default" w:ascii="Arial" w:hAnsi="Arial"/>
          <w:b w:val="0"/>
          <w:bCs/>
          <w:sz w:val="17"/>
          <w:szCs w:val="17"/>
        </w:rPr>
      </w:pPr>
    </w:p>
    <w:p w14:paraId="4077D581">
      <w:pPr>
        <w:pStyle w:val="220"/>
        <w:numPr>
          <w:ilvl w:val="2"/>
          <w:numId w:val="25"/>
        </w:numPr>
        <w:tabs>
          <w:tab w:val="left" w:pos="0"/>
          <w:tab w:val="left" w:pos="426"/>
        </w:tabs>
        <w:spacing w:line="240" w:lineRule="auto"/>
        <w:ind w:left="0" w:firstLine="0"/>
        <w:contextualSpacing w:val="0"/>
        <w:jc w:val="both"/>
        <w:rPr>
          <w:rFonts w:hint="default" w:ascii="Arial" w:hAnsi="Arial" w:cs="Arial"/>
          <w:b/>
          <w:bCs/>
          <w:sz w:val="17"/>
          <w:szCs w:val="17"/>
        </w:rPr>
      </w:pPr>
      <w:r>
        <w:rPr>
          <w:rFonts w:hint="default" w:ascii="Arial" w:hAnsi="Arial" w:cs="Arial"/>
          <w:b/>
          <w:bCs/>
          <w:sz w:val="17"/>
          <w:szCs w:val="17"/>
        </w:rPr>
        <w:t>Da Contratante:</w:t>
      </w:r>
    </w:p>
    <w:p w14:paraId="42CC1B50">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5.2.1. Acompanhar e fiscalizar a execução do objeto, por meio de servidor designado, verificando o fornecimento e a correta utilização dos materiais destinados aos procedimentos hospitalares, registrando formalmente eventuais falhas e comunicando à Contratada as medidas corretivas necessárias.</w:t>
      </w:r>
    </w:p>
    <w:p w14:paraId="7DE05F28">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5.2.2. Emitir as Autorizações de Fornecimento contendo a descrição dos materiais hospitalares, quantitativos, prazos de entrega, local de entrega/uso e demais informações indispensáveis à correta execução do objeto.</w:t>
      </w:r>
    </w:p>
    <w:p w14:paraId="20D592C5">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5.2.3. Atestar o recebimento e a conformidade dos materiais hospitalares na nota fiscal correspondente, após verificação de que atendem às especificações técnicas, quantidades e condições estabelecidas neste Termo de Referência.</w:t>
      </w:r>
    </w:p>
    <w:p w14:paraId="5B6F4853">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5.2.4. Rejeitar, no todo ou em parte, os materiais hospitalares fornecidos em desacordo com as condições estabelecidas, formalizando a ocorrência e solicitando a substituição ou correção cabível.</w:t>
      </w:r>
    </w:p>
    <w:p w14:paraId="236D433F">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5.2.5. Efetuar o pagamento das notas fiscais devidamente atestadas, dentro dos prazos estabelecidos no contrato.</w:t>
      </w:r>
    </w:p>
    <w:p w14:paraId="740E9D3A">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5.2.6. A fiscalização exercida pela Administração não exclui nem reduz a responsabilidade da Contratada pelo fornecimento adequado dos materiais hospitalares, nem transfere à Contratante a responsabilidade por eventuais danos decorrentes do fornecimento ou da utilização dos materiais.</w:t>
      </w:r>
    </w:p>
    <w:p w14:paraId="748C4826">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5.2.7. Notificar formalmente a Contratada em caso de descumprimento das obrigações contratuais, concedendo prazo para manifestação e regularização, quando cabível.</w:t>
      </w:r>
    </w:p>
    <w:p w14:paraId="6A914D3E">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5.2.8. A Contratante poderá suspender ou interromper o fornecimento dos materiais hospitalares, no todo ou em parte, sempre que necessário para resguardar o interesse público, mediante comunicação formal à Contratada.</w:t>
      </w:r>
    </w:p>
    <w:p w14:paraId="24D7F66C">
      <w:pPr>
        <w:pStyle w:val="333"/>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46C12B60">
      <w:pPr>
        <w:pStyle w:val="278"/>
        <w:numPr>
          <w:ilvl w:val="0"/>
          <w:numId w:val="0"/>
        </w:numPr>
        <w:spacing w:before="0" w:line="240" w:lineRule="auto"/>
        <w:rPr>
          <w:rFonts w:hint="default" w:ascii="Arial" w:hAnsi="Arial" w:cs="Arial"/>
          <w:sz w:val="17"/>
          <w:szCs w:val="17"/>
        </w:rPr>
      </w:pPr>
      <w:r>
        <w:rPr>
          <w:rFonts w:hint="default" w:ascii="Arial" w:hAnsi="Arial" w:eastAsia="Tahoma" w:cs="Arial"/>
          <w:sz w:val="17"/>
          <w:szCs w:val="17"/>
        </w:rPr>
        <w:t>CLÁUSULA SEXTA-</w:t>
      </w:r>
      <w:r>
        <w:rPr>
          <w:rFonts w:hint="default" w:ascii="Arial" w:hAnsi="Arial" w:cs="Arial"/>
          <w:sz w:val="17"/>
          <w:szCs w:val="17"/>
        </w:rPr>
        <w:t xml:space="preserve"> VALIDADE, FORMALIZAÇÃO DA ATA DE REGISTRO DE PREÇOS E CADASTRO RESERVA</w:t>
      </w:r>
    </w:p>
    <w:p w14:paraId="2AF0FB9C">
      <w:pPr>
        <w:pStyle w:val="303"/>
        <w:spacing w:before="0" w:after="0" w:line="240" w:lineRule="auto"/>
        <w:rPr>
          <w:rFonts w:hint="default" w:ascii="Arial" w:hAnsi="Arial" w:cs="Arial"/>
          <w:iCs/>
          <w:color w:val="auto"/>
          <w:sz w:val="17"/>
          <w:szCs w:val="17"/>
        </w:rPr>
      </w:pPr>
      <w:r>
        <w:rPr>
          <w:rFonts w:hint="default" w:ascii="Arial" w:hAnsi="Arial" w:cs="Arial"/>
          <w:sz w:val="17"/>
          <w:szCs w:val="17"/>
        </w:rPr>
        <w:t>6.1 A validade da Ata de Registro de Preços será de 1 (um) ano, contado a partir do primeiro dia útil subsequente à data de divulgação no PNCP,</w:t>
      </w:r>
      <w:r>
        <w:rPr>
          <w:rFonts w:hint="default" w:ascii="Arial" w:hAnsi="Arial" w:cs="Arial"/>
          <w:color w:val="auto"/>
          <w:sz w:val="17"/>
          <w:szCs w:val="17"/>
        </w:rPr>
        <w:t xml:space="preserve"> podendo ser prorrogada por igual período, mediante a anuência do fornecedor, desde que comprovado o preço vantajoso.</w:t>
      </w:r>
    </w:p>
    <w:p w14:paraId="00EA6ADA">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54ADE82">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6.3 Na formalização do contrato ou do instrumento substituto deverá haver a indicação da disponibilidade dos créditos orçamentários respectivos.</w:t>
      </w:r>
    </w:p>
    <w:p w14:paraId="76662883">
      <w:pPr>
        <w:pStyle w:val="303"/>
        <w:spacing w:before="0" w:after="0" w:line="240" w:lineRule="auto"/>
        <w:rPr>
          <w:rFonts w:hint="default" w:ascii="Arial" w:hAnsi="Arial" w:cs="Arial"/>
          <w:sz w:val="17"/>
          <w:szCs w:val="17"/>
        </w:rPr>
      </w:pPr>
      <w:r>
        <w:rPr>
          <w:rFonts w:hint="default" w:ascii="Arial" w:hAnsi="Arial" w:cs="Arial"/>
          <w:sz w:val="17"/>
          <w:szCs w:val="17"/>
        </w:rPr>
        <w:t>6.4 A contratação com os fornecedores registrados na ata será formalizada pelo órgão ou pela en</w:t>
      </w:r>
      <w:r>
        <w:rPr>
          <w:rFonts w:hint="default" w:ascii="Arial" w:hAnsi="Arial" w:eastAsia="Arial" w:cs="Arial"/>
          <w:sz w:val="17"/>
          <w:szCs w:val="17"/>
        </w:rPr>
        <w:t>ti</w:t>
      </w:r>
      <w:r>
        <w:rPr>
          <w:rFonts w:hint="default" w:ascii="Arial" w:hAnsi="Arial" w:cs="Arial"/>
          <w:sz w:val="17"/>
          <w:szCs w:val="17"/>
        </w:rPr>
        <w:t>dade interessada por intermédio de instrumento contratual, emissão de nota de empenho de despesa, autorização de compra ou outro instrumento hábil, conforme o art. 95 da Lei nº 14.133, de 2021.</w:t>
      </w:r>
    </w:p>
    <w:p w14:paraId="5498E7A6">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6.4.1 O instrumento contratual de que trata o item 6.4. deverá ser assinado no prazo de validade da ata de registro de preços.</w:t>
      </w:r>
    </w:p>
    <w:p w14:paraId="6D7A79D7">
      <w:pPr>
        <w:pStyle w:val="303"/>
        <w:spacing w:before="0" w:after="0" w:line="240" w:lineRule="auto"/>
        <w:rPr>
          <w:rFonts w:hint="default" w:ascii="Arial" w:hAnsi="Arial" w:cs="Arial"/>
          <w:sz w:val="17"/>
          <w:szCs w:val="17"/>
        </w:rPr>
      </w:pPr>
      <w:r>
        <w:rPr>
          <w:rFonts w:hint="default" w:ascii="Arial" w:hAnsi="Arial" w:cs="Arial"/>
          <w:sz w:val="17"/>
          <w:szCs w:val="17"/>
        </w:rPr>
        <w:t>6.5 Os contratos decorrentes do sistema de registro de preços poderão ser alterados, observado o art. 124 da Lei nº 14.133, de 2021.</w:t>
      </w:r>
    </w:p>
    <w:p w14:paraId="725CC8FC">
      <w:pPr>
        <w:pStyle w:val="303"/>
        <w:spacing w:before="0" w:after="0" w:line="240" w:lineRule="auto"/>
        <w:rPr>
          <w:rFonts w:hint="default" w:ascii="Arial" w:hAnsi="Arial" w:cs="Arial"/>
          <w:sz w:val="17"/>
          <w:szCs w:val="17"/>
        </w:rPr>
      </w:pPr>
      <w:r>
        <w:rPr>
          <w:rFonts w:hint="default" w:ascii="Arial" w:hAnsi="Arial" w:cs="Arial"/>
          <w:sz w:val="17"/>
          <w:szCs w:val="17"/>
        </w:rPr>
        <w:t>6.6 Após a homologação da licitação ou da contratação direta, deverão ser observadas as seguintes condições para formalização da ata de registro de preços:</w:t>
      </w:r>
    </w:p>
    <w:p w14:paraId="71B2D048">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6.6.1 Serão registrados na ata os preços e os quantita</w:t>
      </w:r>
      <w:r>
        <w:rPr>
          <w:rFonts w:hint="default" w:ascii="Arial" w:hAnsi="Arial" w:eastAsia="Arial" w:cs="Arial"/>
          <w:sz w:val="17"/>
          <w:szCs w:val="17"/>
        </w:rPr>
        <w:t>ti</w:t>
      </w:r>
      <w:r>
        <w:rPr>
          <w:rFonts w:hint="default" w:ascii="Arial" w:hAnsi="Arial" w:cs="Arial"/>
          <w:sz w:val="17"/>
          <w:szCs w:val="17"/>
        </w:rPr>
        <w:t xml:space="preserve">vos do adjudicatário. </w:t>
      </w:r>
      <w:bookmarkStart w:id="47" w:name="cadastro_reserva"/>
      <w:bookmarkEnd w:id="47"/>
    </w:p>
    <w:p w14:paraId="67DE2512">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6.6.2 Será respeitada, nas contratações, a ordem de classificação dos licitantes ou dos fornecedores registrados na ata.</w:t>
      </w:r>
    </w:p>
    <w:p w14:paraId="0D34B9A9">
      <w:pPr>
        <w:pStyle w:val="303"/>
        <w:spacing w:before="0" w:after="0" w:line="240" w:lineRule="auto"/>
        <w:rPr>
          <w:rFonts w:hint="default" w:ascii="Arial" w:hAnsi="Arial" w:cs="Arial"/>
          <w:sz w:val="17"/>
          <w:szCs w:val="17"/>
        </w:rPr>
      </w:pPr>
      <w:r>
        <w:rPr>
          <w:rFonts w:hint="default" w:ascii="Arial" w:hAnsi="Arial" w:cs="Arial"/>
          <w:sz w:val="17"/>
          <w:szCs w:val="17"/>
        </w:rPr>
        <w:t>6.6.3 Para fins da ordem de classificação, os licitantes ou fornecedores que aceitarem reduzir suas propostas para o preço do adjudicatário antecederão aqueles que mantiverem sua proposta original.</w:t>
      </w:r>
    </w:p>
    <w:p w14:paraId="60DA865D">
      <w:pPr>
        <w:pStyle w:val="303"/>
        <w:spacing w:before="0" w:after="0" w:line="240" w:lineRule="auto"/>
        <w:rPr>
          <w:rFonts w:hint="default" w:ascii="Arial" w:hAnsi="Arial" w:cs="Arial"/>
          <w:sz w:val="17"/>
          <w:szCs w:val="17"/>
        </w:rPr>
      </w:pPr>
      <w:r>
        <w:rPr>
          <w:rFonts w:hint="default" w:ascii="Arial" w:hAnsi="Arial" w:cs="Arial"/>
          <w:sz w:val="17"/>
          <w:szCs w:val="17"/>
        </w:rPr>
        <w:t>6.7 A convocação dos licitantes que compõem o cadastro de reserva somente será efetuada quando houver necessidade de contratação dos licitantes remanescentes, nas seguintes hipóteses:</w:t>
      </w:r>
      <w:bookmarkStart w:id="48" w:name="habilitacao_reserva"/>
      <w:bookmarkEnd w:id="48"/>
    </w:p>
    <w:p w14:paraId="7F32DFB2">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6.7.1 Quando o licitante vencedor não assinar a ata de registro de preços, no prazo e nas condições estabelecidos no edital.</w:t>
      </w:r>
    </w:p>
    <w:p w14:paraId="2CACFDB9">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 xml:space="preserve">6.7.2 Quando houver o cancelamento do registro do licitante ou do registro de preços nas hipóteses previstas no item </w:t>
      </w:r>
      <w:r>
        <w:rPr>
          <w:rFonts w:hint="default" w:ascii="Arial" w:hAnsi="Arial" w:cs="Arial"/>
          <w:sz w:val="17"/>
          <w:szCs w:val="17"/>
        </w:rPr>
        <w:fldChar w:fldCharType="begin"/>
      </w:r>
      <w:r>
        <w:rPr>
          <w:rFonts w:hint="default" w:ascii="Arial" w:hAnsi="Arial" w:cs="Arial"/>
          <w:sz w:val="17"/>
          <w:szCs w:val="17"/>
        </w:rPr>
        <w:instrText xml:space="preserve"> REF cancelamento \r \h  \* MERGEFORMAT </w:instrText>
      </w:r>
      <w:r>
        <w:rPr>
          <w:rFonts w:hint="default" w:ascii="Arial" w:hAnsi="Arial" w:cs="Arial"/>
          <w:sz w:val="17"/>
          <w:szCs w:val="17"/>
        </w:rPr>
        <w:fldChar w:fldCharType="separate"/>
      </w:r>
      <w:r>
        <w:rPr>
          <w:rFonts w:hint="default" w:ascii="Arial" w:hAnsi="Arial" w:cs="Arial"/>
          <w:sz w:val="17"/>
          <w:szCs w:val="17"/>
        </w:rPr>
        <w:t>9</w:t>
      </w:r>
      <w:r>
        <w:rPr>
          <w:rFonts w:hint="default" w:ascii="Arial" w:hAnsi="Arial" w:cs="Arial"/>
          <w:sz w:val="17"/>
          <w:szCs w:val="17"/>
        </w:rPr>
        <w:fldChar w:fldCharType="end"/>
      </w:r>
      <w:r>
        <w:rPr>
          <w:rFonts w:hint="default" w:ascii="Arial" w:hAnsi="Arial" w:cs="Arial"/>
          <w:sz w:val="17"/>
          <w:szCs w:val="17"/>
        </w:rPr>
        <w:t>.</w:t>
      </w:r>
    </w:p>
    <w:p w14:paraId="4C45BD58">
      <w:pPr>
        <w:pStyle w:val="303"/>
        <w:spacing w:before="0" w:after="0" w:line="240" w:lineRule="auto"/>
        <w:rPr>
          <w:rFonts w:hint="default" w:ascii="Arial" w:hAnsi="Arial" w:cs="Arial"/>
          <w:sz w:val="17"/>
          <w:szCs w:val="17"/>
        </w:rPr>
      </w:pPr>
      <w:r>
        <w:rPr>
          <w:rFonts w:hint="default" w:ascii="Arial" w:hAnsi="Arial" w:cs="Arial"/>
          <w:sz w:val="17"/>
          <w:szCs w:val="17"/>
        </w:rPr>
        <w:t>6.8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7C7A0A09">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6.8.1 O prazo de convocação poderá ser prorrogado 1 (uma) vez, por igual período, mediante solicitação do licitante ou fornecedor convocado, desde que apresentada dentro do prazo, devidamente justificada, e que a justificativa seja aceita pela Administração.</w:t>
      </w:r>
    </w:p>
    <w:p w14:paraId="744D1F20">
      <w:pPr>
        <w:pStyle w:val="303"/>
        <w:spacing w:before="0" w:after="0" w:line="240" w:lineRule="auto"/>
        <w:rPr>
          <w:rFonts w:hint="default" w:ascii="Arial" w:hAnsi="Arial" w:cs="Arial"/>
          <w:sz w:val="17"/>
          <w:szCs w:val="17"/>
        </w:rPr>
      </w:pPr>
      <w:r>
        <w:rPr>
          <w:rFonts w:hint="default" w:ascii="Arial" w:hAnsi="Arial" w:cs="Arial"/>
          <w:sz w:val="17"/>
          <w:szCs w:val="17"/>
        </w:rPr>
        <w:t>6.9 A ata de registro de preços poderá ser assinada por meio de assinatura digital e disponibilizada no Sistema de Registro de Preços.</w:t>
      </w:r>
    </w:p>
    <w:p w14:paraId="5773CA86">
      <w:pPr>
        <w:pStyle w:val="303"/>
        <w:spacing w:before="0" w:after="0" w:line="240" w:lineRule="auto"/>
        <w:rPr>
          <w:rFonts w:hint="default" w:ascii="Arial" w:hAnsi="Arial" w:cs="Arial"/>
          <w:sz w:val="17"/>
          <w:szCs w:val="17"/>
        </w:rPr>
      </w:pPr>
      <w:r>
        <w:rPr>
          <w:rFonts w:hint="default" w:ascii="Arial" w:hAnsi="Arial" w:cs="Arial"/>
          <w:sz w:val="17"/>
          <w:szCs w:val="17"/>
        </w:rPr>
        <w:t>6.10 Quando o convocado não assinar a ata de registro de preços no prazo e nas condições estabelecidos no edital ou no aviso de contratação, fica facultado à Administração convocar os licitantes remanescentes do cadastro de reserva, na ordem de classificação, para fazê-lo em igual prazo e nas condições propostas pelo primeiro classificado.</w:t>
      </w:r>
      <w:bookmarkStart w:id="49" w:name="recusa_dos_que_baixaram_preco"/>
      <w:bookmarkEnd w:id="49"/>
    </w:p>
    <w:p w14:paraId="7D583F0F">
      <w:pPr>
        <w:pStyle w:val="303"/>
        <w:spacing w:before="0" w:after="0" w:line="240" w:lineRule="auto"/>
        <w:rPr>
          <w:rFonts w:hint="default" w:ascii="Arial" w:hAnsi="Arial" w:cs="Arial"/>
          <w:color w:val="auto"/>
          <w:sz w:val="17"/>
          <w:szCs w:val="17"/>
        </w:rPr>
      </w:pPr>
      <w:r>
        <w:rPr>
          <w:rFonts w:hint="default" w:ascii="Arial" w:hAnsi="Arial" w:cs="Arial"/>
          <w:sz w:val="17"/>
          <w:szCs w:val="17"/>
        </w:rPr>
        <w:t>6.11 Na hipótese de nenhum dos licitantes que trata o item aceitar a contratação nos termos do vencedor, a Administração, observados o valor es</w:t>
      </w:r>
      <w:r>
        <w:rPr>
          <w:rFonts w:hint="default" w:ascii="Arial" w:hAnsi="Arial" w:eastAsia="Arial" w:cs="Arial"/>
          <w:sz w:val="17"/>
          <w:szCs w:val="17"/>
        </w:rPr>
        <w:t>ti</w:t>
      </w:r>
      <w:r>
        <w:rPr>
          <w:rFonts w:hint="default" w:ascii="Arial" w:hAnsi="Arial" w:cs="Arial"/>
          <w:sz w:val="17"/>
          <w:szCs w:val="17"/>
        </w:rPr>
        <w:t xml:space="preserve">mado e sua eventual atualização nos termos </w:t>
      </w:r>
      <w:r>
        <w:rPr>
          <w:rFonts w:hint="default" w:ascii="Arial" w:hAnsi="Arial" w:cs="Arial"/>
          <w:color w:val="auto"/>
          <w:sz w:val="17"/>
          <w:szCs w:val="17"/>
        </w:rPr>
        <w:t>do edital ou do aviso de contratação direta, poderá:</w:t>
      </w:r>
    </w:p>
    <w:p w14:paraId="190A2864">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6.11.1 Convocar para negociação os demais licitantes ou fornecedores remanescentes cujos preços foram registrados sem redução, observada a ordem de classificação, com vistas à obtenção de preço melhor, mesmo que acima do preço do adjudicatário; ou</w:t>
      </w:r>
    </w:p>
    <w:p w14:paraId="150B1986">
      <w:pPr>
        <w:pStyle w:val="316"/>
        <w:numPr>
          <w:ilvl w:val="2"/>
          <w:numId w:val="0"/>
        </w:numPr>
        <w:spacing w:before="0" w:after="0" w:line="240" w:lineRule="auto"/>
        <w:rPr>
          <w:rFonts w:hint="default" w:ascii="Arial" w:hAnsi="Arial" w:cs="Arial"/>
          <w:sz w:val="17"/>
          <w:szCs w:val="17"/>
        </w:rPr>
      </w:pPr>
      <w:r>
        <w:rPr>
          <w:rFonts w:hint="default" w:ascii="Arial" w:hAnsi="Arial" w:cs="Arial"/>
          <w:sz w:val="17"/>
          <w:szCs w:val="17"/>
        </w:rPr>
        <w:t>6.11.2 Adjudicar e firmar o contrato nas condições ofertadas pelos licitantes ou fornecedores remanescentes, atendida a ordem classificatória, quando frustrada a negociação de melhor condição.</w:t>
      </w:r>
    </w:p>
    <w:p w14:paraId="08D03816">
      <w:pPr>
        <w:spacing w:line="240" w:lineRule="auto"/>
        <w:jc w:val="both"/>
        <w:rPr>
          <w:rFonts w:hint="default" w:ascii="Arial" w:hAnsi="Arial" w:cs="Arial"/>
          <w:b/>
          <w:bCs/>
          <w:sz w:val="17"/>
          <w:szCs w:val="17"/>
        </w:rPr>
      </w:pPr>
    </w:p>
    <w:p w14:paraId="1C94E0B0">
      <w:pPr>
        <w:spacing w:line="240" w:lineRule="auto"/>
        <w:jc w:val="both"/>
        <w:rPr>
          <w:rFonts w:hint="default" w:ascii="Arial" w:hAnsi="Arial" w:cs="Arial"/>
          <w:b/>
          <w:bCs/>
          <w:sz w:val="17"/>
          <w:szCs w:val="17"/>
        </w:rPr>
      </w:pPr>
      <w:r>
        <w:rPr>
          <w:rFonts w:hint="default" w:ascii="Arial" w:hAnsi="Arial" w:cs="Arial"/>
          <w:b/>
          <w:bCs/>
          <w:sz w:val="17"/>
          <w:szCs w:val="17"/>
        </w:rPr>
        <w:t>CLÁUSULA SÉTIMA - DO PAGAMENTO E DA DOTAÇÃO ORÇAMENTÁRIA:</w:t>
      </w:r>
    </w:p>
    <w:p w14:paraId="1AAA4D0B">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cs="Arial"/>
          <w:b w:val="0"/>
          <w:bCs/>
          <w:color w:val="000000" w:themeColor="text1"/>
          <w:sz w:val="17"/>
          <w:szCs w:val="17"/>
          <w14:textFill>
            <w14:solidFill>
              <w14:schemeClr w14:val="tx1"/>
            </w14:solidFill>
          </w14:textFill>
        </w:rPr>
        <w:t>7.1</w:t>
      </w:r>
      <w:r>
        <w:rPr>
          <w:rFonts w:hint="default" w:ascii="Arial" w:hAnsi="Arial" w:cs="Arial"/>
          <w:b w:val="0"/>
          <w:bCs/>
          <w:color w:val="000000" w:themeColor="text1"/>
          <w:sz w:val="17"/>
          <w:szCs w:val="17"/>
          <w:lang w:val="pt-BR"/>
          <w14:textFill>
            <w14:solidFill>
              <w14:schemeClr w14:val="tx1"/>
            </w14:solidFill>
          </w14:textFill>
        </w:rPr>
        <w:t>.</w:t>
      </w:r>
      <w:r>
        <w:rPr>
          <w:rFonts w:hint="default" w:ascii="Arial" w:hAnsi="Arial" w:cs="Arial"/>
          <w:b w:val="0"/>
          <w:bCs/>
          <w:color w:val="000000" w:themeColor="text1"/>
          <w:sz w:val="17"/>
          <w:szCs w:val="17"/>
          <w14:textFill>
            <w14:solidFill>
              <w14:schemeClr w14:val="tx1"/>
            </w14:solidFill>
          </w14:textFill>
        </w:rPr>
        <w:t xml:space="preserve"> A dotação orçamentária destintada ao pagamento do objeto licitado </w:t>
      </w:r>
      <w:r>
        <w:rPr>
          <w:rFonts w:hint="default" w:ascii="Arial" w:hAnsi="Arial" w:cs="Arial"/>
          <w:b w:val="0"/>
          <w:bCs/>
          <w:color w:val="000000" w:themeColor="text1"/>
          <w:sz w:val="17"/>
          <w:szCs w:val="17"/>
          <w:lang w:val="pt-BR"/>
          <w14:textFill>
            <w14:solidFill>
              <w14:schemeClr w14:val="tx1"/>
            </w14:solidFill>
          </w14:textFill>
        </w:rPr>
        <w:t>será</w:t>
      </w:r>
      <w:r>
        <w:rPr>
          <w:rFonts w:hint="default" w:ascii="Arial" w:hAnsi="Arial" w:cs="Arial"/>
          <w:b w:val="0"/>
          <w:bCs/>
          <w:color w:val="000000" w:themeColor="text1"/>
          <w:sz w:val="17"/>
          <w:szCs w:val="17"/>
          <w14:textFill>
            <w14:solidFill>
              <w14:schemeClr w14:val="tx1"/>
            </w14:solidFill>
          </w14:textFill>
        </w:rPr>
        <w:t xml:space="preserve"> prevista e indicada </w:t>
      </w:r>
      <w:r>
        <w:rPr>
          <w:rFonts w:hint="default" w:ascii="Arial" w:hAnsi="Arial" w:cs="Arial"/>
          <w:b w:val="0"/>
          <w:bCs/>
          <w:color w:val="000000" w:themeColor="text1"/>
          <w:sz w:val="17"/>
          <w:szCs w:val="17"/>
          <w:lang w:val="pt-BR"/>
          <w14:textFill>
            <w14:solidFill>
              <w14:schemeClr w14:val="tx1"/>
            </w14:solidFill>
          </w14:textFill>
        </w:rPr>
        <w:t>na autorização de fornecimento, nota de empenho ou futuro contrato</w:t>
      </w:r>
      <w:r>
        <w:rPr>
          <w:rFonts w:hint="default" w:ascii="Arial" w:hAnsi="Arial" w:cs="Arial"/>
          <w:b w:val="0"/>
          <w:bCs/>
          <w:color w:val="000000" w:themeColor="text1"/>
          <w:sz w:val="17"/>
          <w:szCs w:val="17"/>
          <w14:textFill>
            <w14:solidFill>
              <w14:schemeClr w14:val="tx1"/>
            </w14:solidFill>
          </w14:textFill>
        </w:rPr>
        <w:t xml:space="preserve"> pela área competente da Prefeitura Municipal de Cataguases, sob o número: </w:t>
      </w:r>
    </w:p>
    <w:p w14:paraId="12994CF6">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A contratação será atendida pelo seguinte centro de custo:</w:t>
      </w:r>
    </w:p>
    <w:p w14:paraId="54B20DBA">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02009– Fundo Municipal de Saúde</w:t>
      </w:r>
    </w:p>
    <w:p w14:paraId="49BC2729">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2.083 – Manutenção e Coordenação das Atividades da Atenção Básica</w:t>
      </w:r>
    </w:p>
    <w:p w14:paraId="766F6B25">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•Gestão da Atenção Primária à Saúde</w:t>
      </w:r>
    </w:p>
    <w:p w14:paraId="3429E0C8">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•Gestão da Saúde Bucal (Odontologia)</w:t>
      </w:r>
    </w:p>
    <w:p w14:paraId="2A98F317">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2.084 –Manutenção e Coordenação das Atividades da Média e Alta Complexidade Ambulatorial</w:t>
      </w:r>
    </w:p>
    <w:p w14:paraId="4EAE59B6">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•Gestão do Serviço de Atendimento Especializado</w:t>
      </w:r>
    </w:p>
    <w:p w14:paraId="4653A199">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•Gestão do Serviço de Radiologia</w:t>
      </w:r>
    </w:p>
    <w:p w14:paraId="10441440">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•Gestão do Centro de Especialidades Odontológicas</w:t>
      </w:r>
    </w:p>
    <w:p w14:paraId="20203EA9">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2.085 – Manutenção e Coordenação das Atividades da Raps – Rede de Atenção Psicossocial</w:t>
      </w:r>
    </w:p>
    <w:p w14:paraId="34CDBC33">
      <w:pPr>
        <w:spacing w:line="240" w:lineRule="auto"/>
        <w:jc w:val="both"/>
        <w:rPr>
          <w:rFonts w:hint="default" w:ascii="Arial" w:hAnsi="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•Gestão do CAPS I</w:t>
      </w:r>
    </w:p>
    <w:p w14:paraId="0C6D0CE2">
      <w:pPr>
        <w:spacing w:line="240" w:lineRule="auto"/>
        <w:jc w:val="both"/>
        <w:rPr>
          <w:rFonts w:hint="default" w:ascii="Arial" w:hAnsi="Arial" w:cs="Arial"/>
          <w:b w:val="0"/>
          <w:bCs/>
          <w:color w:val="000000" w:themeColor="text1"/>
          <w:sz w:val="17"/>
          <w:szCs w:val="17"/>
          <w14:textFill>
            <w14:solidFill>
              <w14:schemeClr w14:val="tx1"/>
            </w14:solidFill>
          </w14:textFill>
        </w:rPr>
      </w:pPr>
      <w:r>
        <w:rPr>
          <w:rFonts w:hint="default" w:ascii="Arial" w:hAnsi="Arial"/>
          <w:b w:val="0"/>
          <w:bCs/>
          <w:color w:val="000000" w:themeColor="text1"/>
          <w:sz w:val="17"/>
          <w:szCs w:val="17"/>
          <w14:textFill>
            <w14:solidFill>
              <w14:schemeClr w14:val="tx1"/>
            </w14:solidFill>
          </w14:textFill>
        </w:rPr>
        <w:t>•Gestão do CAPS AD</w:t>
      </w:r>
    </w:p>
    <w:p w14:paraId="3DD3B966">
      <w:pPr>
        <w:spacing w:line="240" w:lineRule="auto"/>
        <w:jc w:val="both"/>
        <w:rPr>
          <w:rFonts w:hint="default" w:ascii="Arial" w:hAnsi="Arial" w:cs="Arial"/>
          <w:b w:val="0"/>
          <w:bCs/>
          <w:sz w:val="17"/>
          <w:szCs w:val="17"/>
        </w:rPr>
      </w:pPr>
      <w:r>
        <w:rPr>
          <w:rFonts w:hint="default" w:ascii="Arial" w:hAnsi="Arial" w:cs="Arial"/>
          <w:b w:val="0"/>
          <w:bCs/>
          <w:sz w:val="17"/>
          <w:szCs w:val="17"/>
        </w:rPr>
        <w:t>7.2 – O pagamento decorrente da concretização desta licitação será efetuado pelo Setor Financeiro da Prefeitura Municipal de Cataguases por processo legal, no prazo de 30 (trinta) dias corridos após a apresentação da Nota Fiscal, mediante a apresentação da regularidade fiscal junto ao INSS FGTS, RECEITA FEDERAL, ESTADUAL E MUNICIPAL.</w:t>
      </w:r>
    </w:p>
    <w:p w14:paraId="03EC92CE">
      <w:pPr>
        <w:jc w:val="both"/>
        <w:rPr>
          <w:rFonts w:hint="default" w:ascii="Arial" w:hAnsi="Arial" w:cs="Arial"/>
          <w:b w:val="0"/>
          <w:bCs/>
          <w:sz w:val="17"/>
          <w:szCs w:val="17"/>
        </w:rPr>
      </w:pPr>
      <w:r>
        <w:rPr>
          <w:rFonts w:hint="default" w:ascii="Arial" w:hAnsi="Arial" w:cs="Arial"/>
          <w:b w:val="0"/>
          <w:bCs/>
          <w:sz w:val="17"/>
          <w:szCs w:val="17"/>
          <w:u w:val="single"/>
          <w:lang w:val="pt-BR"/>
        </w:rPr>
        <w:t>7.2.1 A responsabilidade para verificação das certidões de regularidade fiscal e trabalhista cabe ao fiscal do contrato. A assinatura no verso da nota atesta a regularidade e obrigações cumpridas pela empresa.</w:t>
      </w:r>
    </w:p>
    <w:p w14:paraId="763934CE">
      <w:pPr>
        <w:pStyle w:val="220"/>
        <w:keepLines w:val="0"/>
        <w:pageBreakBefore w:val="0"/>
        <w:kinsoku/>
        <w:wordWrap/>
        <w:overflowPunct/>
        <w:topLinePunct w:val="0"/>
        <w:bidi w:val="0"/>
        <w:adjustRightInd/>
        <w:snapToGrid/>
        <w:spacing w:line="240" w:lineRule="auto"/>
        <w:ind w:left="0"/>
        <w:jc w:val="both"/>
        <w:textAlignment w:val="auto"/>
        <w:rPr>
          <w:rFonts w:hint="default" w:ascii="Arial" w:hAnsi="Arial" w:cs="Arial"/>
          <w:b w:val="0"/>
          <w:bCs/>
          <w:sz w:val="17"/>
          <w:szCs w:val="17"/>
          <w:u w:val="none"/>
          <w:shd w:val="clear" w:color="auto" w:fill="auto"/>
          <w:lang w:val="pt-BR"/>
        </w:rPr>
      </w:pPr>
      <w:r>
        <w:rPr>
          <w:rFonts w:hint="default" w:ascii="Arial" w:hAnsi="Arial" w:cs="Arial"/>
          <w:b w:val="0"/>
          <w:bCs/>
          <w:sz w:val="17"/>
          <w:szCs w:val="17"/>
          <w:u w:val="none"/>
          <w:shd w:val="clear" w:color="auto" w:fill="auto"/>
          <w:lang w:val="pt-BR"/>
        </w:rPr>
        <w:t>7.2.2 A empresa fica desobrigada a apresentar os documentos acima, desde que as certidões estejam válidas no SICAF, onde o contratante poderá consultar.</w:t>
      </w:r>
    </w:p>
    <w:p w14:paraId="4A0CA59E">
      <w:pPr>
        <w:pStyle w:val="303"/>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jc w:val="both"/>
        <w:textAlignment w:val="auto"/>
        <w:rPr>
          <w:rFonts w:hint="default" w:ascii="Arial" w:hAnsi="Arial" w:cs="Arial"/>
          <w:b w:val="0"/>
          <w:bCs/>
          <w:sz w:val="17"/>
          <w:szCs w:val="17"/>
        </w:rPr>
      </w:pPr>
      <w:r>
        <w:rPr>
          <w:rFonts w:hint="default" w:ascii="Arial" w:hAnsi="Arial" w:cs="Arial"/>
          <w:b w:val="0"/>
          <w:bCs/>
          <w:sz w:val="17"/>
          <w:szCs w:val="17"/>
          <w:u w:val="none"/>
          <w:lang w:val="pt-BR"/>
        </w:rPr>
        <w:t>7.2.</w:t>
      </w:r>
      <w:r>
        <w:rPr>
          <w:rFonts w:hint="default" w:cs="Arial"/>
          <w:b w:val="0"/>
          <w:bCs/>
          <w:sz w:val="17"/>
          <w:szCs w:val="17"/>
          <w:u w:val="none"/>
          <w:lang w:val="pt-BR"/>
        </w:rPr>
        <w:t>3</w:t>
      </w:r>
      <w:r>
        <w:rPr>
          <w:rFonts w:hint="default" w:ascii="Arial" w:hAnsi="Arial" w:cs="Arial"/>
          <w:b w:val="0"/>
          <w:bCs/>
          <w:sz w:val="17"/>
          <w:szCs w:val="17"/>
          <w:u w:val="none"/>
          <w:lang w:val="pt-BR"/>
        </w:rPr>
        <w:t xml:space="preserve"> </w:t>
      </w:r>
      <w:r>
        <w:rPr>
          <w:rFonts w:hint="default" w:ascii="Arial" w:hAnsi="Arial" w:cs="Arial"/>
          <w:b w:val="0"/>
          <w:bCs/>
          <w:sz w:val="17"/>
          <w:szCs w:val="17"/>
          <w:u w:val="none"/>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sz w:val="17"/>
          <w:szCs w:val="17"/>
          <w:u w:val="none"/>
        </w:rPr>
        <w:fldChar w:fldCharType="begin"/>
      </w:r>
      <w:r>
        <w:rPr>
          <w:rFonts w:hint="default" w:ascii="Arial" w:hAnsi="Arial" w:cs="Arial"/>
          <w:b w:val="0"/>
          <w:bCs/>
          <w:sz w:val="17"/>
          <w:szCs w:val="17"/>
          <w:u w:val="none"/>
        </w:rPr>
        <w:instrText xml:space="preserve"> HYPERLINK "https://www.gov.br/compras/pt-br/acesso-a-informacao/legislacao/instrucoes-normativas/instrucao-normativa-no-3-de-26-de-abril-de-2018" </w:instrText>
      </w:r>
      <w:r>
        <w:rPr>
          <w:rFonts w:hint="default" w:ascii="Arial" w:hAnsi="Arial" w:cs="Arial"/>
          <w:b w:val="0"/>
          <w:bCs/>
          <w:sz w:val="17"/>
          <w:szCs w:val="17"/>
          <w:u w:val="none"/>
        </w:rPr>
        <w:fldChar w:fldCharType="separate"/>
      </w:r>
      <w:r>
        <w:rPr>
          <w:rStyle w:val="324"/>
          <w:rFonts w:hint="default" w:ascii="Arial" w:hAnsi="Arial" w:cs="Arial"/>
          <w:b w:val="0"/>
          <w:bCs/>
          <w:sz w:val="17"/>
          <w:szCs w:val="17"/>
          <w:u w:val="none"/>
        </w:rPr>
        <w:t xml:space="preserve">IN nº 3/2018, art. 7º, </w:t>
      </w:r>
      <w:r>
        <w:rPr>
          <w:rStyle w:val="324"/>
          <w:rFonts w:hint="default" w:ascii="Arial" w:hAnsi="Arial" w:cs="Arial"/>
          <w:b w:val="0"/>
          <w:bCs/>
          <w:i/>
          <w:iCs/>
          <w:sz w:val="17"/>
          <w:szCs w:val="17"/>
          <w:u w:val="none"/>
        </w:rPr>
        <w:t>caput</w:t>
      </w:r>
      <w:r>
        <w:rPr>
          <w:rStyle w:val="324"/>
          <w:rFonts w:hint="default" w:ascii="Arial" w:hAnsi="Arial" w:cs="Arial"/>
          <w:b w:val="0"/>
          <w:bCs/>
          <w:i/>
          <w:iCs/>
          <w:sz w:val="17"/>
          <w:szCs w:val="17"/>
          <w:u w:val="none"/>
        </w:rPr>
        <w:fldChar w:fldCharType="end"/>
      </w:r>
      <w:r>
        <w:rPr>
          <w:rFonts w:hint="default" w:ascii="Arial" w:hAnsi="Arial" w:cs="Arial"/>
          <w:b w:val="0"/>
          <w:bCs/>
          <w:sz w:val="17"/>
          <w:szCs w:val="17"/>
          <w:u w:val="none"/>
        </w:rPr>
        <w:t>).</w:t>
      </w:r>
    </w:p>
    <w:p w14:paraId="17E00F3D">
      <w:pPr>
        <w:spacing w:line="240" w:lineRule="auto"/>
        <w:jc w:val="both"/>
        <w:rPr>
          <w:rFonts w:hint="default" w:ascii="Arial" w:hAnsi="Arial" w:cs="Arial"/>
          <w:b w:val="0"/>
          <w:bCs/>
          <w:sz w:val="17"/>
          <w:szCs w:val="17"/>
        </w:rPr>
      </w:pPr>
      <w:r>
        <w:rPr>
          <w:rFonts w:hint="default" w:ascii="Arial" w:hAnsi="Arial" w:cs="Arial"/>
          <w:b w:val="0"/>
          <w:bCs/>
          <w:sz w:val="17"/>
          <w:szCs w:val="17"/>
        </w:rPr>
        <w:t>7.3</w:t>
      </w:r>
      <w:r>
        <w:rPr>
          <w:rFonts w:hint="default" w:ascii="Arial" w:hAnsi="Arial" w:cs="Arial"/>
          <w:b w:val="0"/>
          <w:bCs/>
          <w:sz w:val="17"/>
          <w:szCs w:val="17"/>
          <w:lang w:val="pt-BR"/>
        </w:rPr>
        <w:t>.</w:t>
      </w:r>
      <w:r>
        <w:rPr>
          <w:rFonts w:hint="default" w:ascii="Arial" w:hAnsi="Arial" w:cs="Arial"/>
          <w:b w:val="0"/>
          <w:bCs/>
          <w:sz w:val="17"/>
          <w:szCs w:val="17"/>
        </w:rPr>
        <w:t xml:space="preserve"> 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 adequação pertinente.</w:t>
      </w:r>
    </w:p>
    <w:p w14:paraId="4E19FA15">
      <w:pPr>
        <w:spacing w:line="240" w:lineRule="auto"/>
        <w:jc w:val="both"/>
        <w:rPr>
          <w:rFonts w:hint="default" w:ascii="Arial" w:hAnsi="Arial" w:cs="Arial"/>
          <w:b w:val="0"/>
          <w:bCs/>
          <w:sz w:val="17"/>
          <w:szCs w:val="17"/>
        </w:rPr>
      </w:pPr>
      <w:r>
        <w:rPr>
          <w:rFonts w:hint="default" w:ascii="Arial" w:hAnsi="Arial" w:cs="Arial"/>
          <w:b w:val="0"/>
          <w:bCs/>
          <w:sz w:val="17"/>
          <w:szCs w:val="17"/>
        </w:rPr>
        <w:t>7.4</w:t>
      </w:r>
      <w:r>
        <w:rPr>
          <w:rFonts w:hint="default" w:ascii="Arial" w:hAnsi="Arial" w:cs="Arial"/>
          <w:b w:val="0"/>
          <w:bCs/>
          <w:sz w:val="17"/>
          <w:szCs w:val="17"/>
          <w:lang w:val="pt-BR"/>
        </w:rPr>
        <w:t>.</w:t>
      </w:r>
      <w:r>
        <w:rPr>
          <w:rFonts w:hint="default" w:ascii="Arial" w:hAnsi="Arial" w:cs="Arial"/>
          <w:b w:val="0"/>
          <w:bCs/>
          <w:sz w:val="17"/>
          <w:szCs w:val="17"/>
        </w:rPr>
        <w:t xml:space="preserve"> Quando for constatada qualquer irregularidade na Nota Fiscal/Fatura, será imediatamente solicitada à empresa adjudicatária carta de correção quando couber, ou ainda pertinente regularização, que deverá ser encaminhada no prazo de 2 (dois) dias úteis;</w:t>
      </w:r>
    </w:p>
    <w:p w14:paraId="7450998D">
      <w:pPr>
        <w:spacing w:line="240" w:lineRule="auto"/>
        <w:jc w:val="both"/>
        <w:rPr>
          <w:rFonts w:hint="default" w:ascii="Arial" w:hAnsi="Arial" w:cs="Arial"/>
          <w:b w:val="0"/>
          <w:bCs/>
          <w:sz w:val="17"/>
          <w:szCs w:val="17"/>
        </w:rPr>
      </w:pPr>
      <w:r>
        <w:rPr>
          <w:rFonts w:hint="default" w:ascii="Arial" w:hAnsi="Arial" w:cs="Arial"/>
          <w:b w:val="0"/>
          <w:bCs/>
          <w:sz w:val="17"/>
          <w:szCs w:val="17"/>
        </w:rPr>
        <w:t>7.5</w:t>
      </w:r>
      <w:r>
        <w:rPr>
          <w:rFonts w:hint="default" w:ascii="Arial" w:hAnsi="Arial" w:cs="Arial"/>
          <w:b w:val="0"/>
          <w:bCs/>
          <w:sz w:val="17"/>
          <w:szCs w:val="17"/>
          <w:lang w:val="pt-BR"/>
        </w:rPr>
        <w:t>.</w:t>
      </w:r>
      <w:r>
        <w:rPr>
          <w:rFonts w:hint="default" w:ascii="Arial" w:hAnsi="Arial" w:cs="Arial"/>
          <w:b w:val="0"/>
          <w:bCs/>
          <w:sz w:val="17"/>
          <w:szCs w:val="17"/>
        </w:rPr>
        <w:t xml:space="preserve"> Caso a contratada não apresente carta de correção no prazo estipulado, o prazo para pagamento será recontado, a partir da data da sua apresentação.</w:t>
      </w:r>
    </w:p>
    <w:p w14:paraId="6A87FA93">
      <w:pPr>
        <w:spacing w:line="240" w:lineRule="auto"/>
        <w:jc w:val="both"/>
        <w:rPr>
          <w:rFonts w:hint="default" w:ascii="Arial" w:hAnsi="Arial" w:cs="Arial"/>
          <w:b w:val="0"/>
          <w:bCs/>
          <w:sz w:val="17"/>
          <w:szCs w:val="17"/>
        </w:rPr>
      </w:pPr>
      <w:r>
        <w:rPr>
          <w:rFonts w:hint="default" w:ascii="Arial" w:hAnsi="Arial" w:cs="Arial"/>
          <w:b w:val="0"/>
          <w:bCs/>
          <w:color w:val="000000"/>
          <w:sz w:val="17"/>
          <w:szCs w:val="17"/>
        </w:rPr>
        <w:t>7.6</w:t>
      </w:r>
      <w:r>
        <w:rPr>
          <w:rFonts w:hint="default" w:ascii="Arial" w:hAnsi="Arial" w:cs="Arial"/>
          <w:b w:val="0"/>
          <w:bCs/>
          <w:color w:val="000000"/>
          <w:sz w:val="17"/>
          <w:szCs w:val="17"/>
          <w:lang w:val="pt-BR"/>
        </w:rPr>
        <w:t>.</w:t>
      </w:r>
      <w:r>
        <w:rPr>
          <w:rFonts w:hint="default" w:ascii="Arial" w:hAnsi="Arial" w:cs="Arial"/>
          <w:b w:val="0"/>
          <w:bCs/>
          <w:color w:val="000000"/>
          <w:sz w:val="17"/>
          <w:szCs w:val="17"/>
        </w:rPr>
        <w:t xml:space="preserve"> Atender as exigências conforme Decreto 5.811/2023</w:t>
      </w:r>
    </w:p>
    <w:p w14:paraId="4BF6153F">
      <w:pPr>
        <w:spacing w:line="240" w:lineRule="auto"/>
        <w:jc w:val="both"/>
        <w:rPr>
          <w:rFonts w:hint="default" w:ascii="Arial" w:hAnsi="Arial" w:cs="Arial"/>
          <w:sz w:val="17"/>
          <w:szCs w:val="17"/>
        </w:rPr>
      </w:pPr>
    </w:p>
    <w:p w14:paraId="01283C7C">
      <w:pPr>
        <w:spacing w:line="240" w:lineRule="auto"/>
        <w:jc w:val="both"/>
        <w:rPr>
          <w:rFonts w:hint="default" w:ascii="Arial" w:hAnsi="Arial" w:cs="Arial"/>
          <w:b/>
          <w:bCs/>
          <w:sz w:val="17"/>
          <w:szCs w:val="17"/>
        </w:rPr>
      </w:pPr>
      <w:r>
        <w:rPr>
          <w:rFonts w:hint="default" w:ascii="Arial" w:hAnsi="Arial" w:cs="Arial"/>
          <w:b/>
          <w:bCs/>
          <w:sz w:val="17"/>
          <w:szCs w:val="17"/>
        </w:rPr>
        <w:t>CLÁUSULA OITAVA –NEGOCIAÇÃO DE PREÇOS REGISTRADOS</w:t>
      </w:r>
    </w:p>
    <w:p w14:paraId="2C36FFFC">
      <w:pPr>
        <w:pStyle w:val="303"/>
        <w:numPr>
          <w:ilvl w:val="0"/>
          <w:numId w:val="0"/>
        </w:numPr>
        <w:tabs>
          <w:tab w:val="left" w:pos="567"/>
        </w:tabs>
        <w:autoSpaceDE w:val="0"/>
        <w:autoSpaceDN w:val="0"/>
        <w:adjustRightInd w:val="0"/>
        <w:spacing w:before="0" w:after="0" w:line="240" w:lineRule="auto"/>
        <w:ind w:leftChars="0"/>
        <w:rPr>
          <w:rFonts w:hint="default" w:ascii="Arial" w:hAnsi="Arial" w:eastAsia="Times New Roman" w:cs="Arial"/>
          <w:b w:val="0"/>
          <w:bCs/>
          <w:color w:val="auto"/>
          <w:sz w:val="17"/>
          <w:szCs w:val="17"/>
          <w:lang w:val="pt-BR" w:eastAsia="pt-BR" w:bidi="ar-SA"/>
        </w:rPr>
      </w:pPr>
      <w:r>
        <w:rPr>
          <w:rFonts w:hint="default" w:eastAsia="Times New Roman" w:cs="Arial"/>
          <w:b w:val="0"/>
          <w:bCs/>
          <w:color w:val="auto"/>
          <w:sz w:val="17"/>
          <w:szCs w:val="17"/>
          <w:lang w:val="en-US" w:eastAsia="pt-BR" w:bidi="ar-SA"/>
        </w:rPr>
        <w:t xml:space="preserve">8.1. </w:t>
      </w:r>
      <w:r>
        <w:rPr>
          <w:rFonts w:hint="default" w:ascii="Arial" w:hAnsi="Arial" w:eastAsia="Times New Roman" w:cs="Arial"/>
          <w:b w:val="0"/>
          <w:bCs/>
          <w:color w:val="auto"/>
          <w:sz w:val="17"/>
          <w:szCs w:val="17"/>
          <w:lang w:val="pt-BR" w:eastAsia="pt-BR" w:bidi="ar-SA"/>
        </w:rPr>
        <w:t>Na hipótese de o preço registrado tornar-se superior ao preço praticado no mercado por motivo superveniente, o órgão ou entidade gerenciadora convocará o fornecedor para negociar a redução do preço registrado.</w:t>
      </w:r>
    </w:p>
    <w:p w14:paraId="22FB669C">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8.1.1. </w:t>
      </w:r>
      <w:r>
        <w:rPr>
          <w:rFonts w:hint="default" w:ascii="Arial" w:hAnsi="Arial" w:cs="Arial"/>
          <w:sz w:val="17"/>
          <w:szCs w:val="17"/>
        </w:rPr>
        <w:t>Caso não aceite reduzir seu preço aos valores pra</w:t>
      </w:r>
      <w:r>
        <w:rPr>
          <w:rFonts w:hint="default" w:ascii="Arial" w:hAnsi="Arial" w:eastAsia="Calibri" w:cs="Arial"/>
          <w:sz w:val="17"/>
          <w:szCs w:val="17"/>
        </w:rPr>
        <w:t>ti</w:t>
      </w:r>
      <w:r>
        <w:rPr>
          <w:rFonts w:hint="default" w:ascii="Arial" w:hAnsi="Arial" w:cs="Arial"/>
          <w:sz w:val="17"/>
          <w:szCs w:val="17"/>
        </w:rPr>
        <w:t>cados pelo mercado, o fornecedor será liberado do compromisso assumido quanto ao item registrado, sem aplicação de penalidades administrativas.</w:t>
      </w:r>
    </w:p>
    <w:p w14:paraId="4AE932AE">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8.1.2. </w:t>
      </w:r>
      <w:r>
        <w:rPr>
          <w:rFonts w:hint="default" w:ascii="Arial" w:hAnsi="Arial" w:cs="Arial"/>
          <w:sz w:val="17"/>
          <w:szCs w:val="17"/>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BB75D9">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8.1.3. </w:t>
      </w:r>
      <w:r>
        <w:rPr>
          <w:rFonts w:hint="default" w:ascii="Arial" w:hAnsi="Arial" w:cs="Arial"/>
          <w:sz w:val="17"/>
          <w:szCs w:val="17"/>
        </w:rPr>
        <w:t>Se não obtiver êxito nas negociações, o órgão ou en</w:t>
      </w:r>
      <w:r>
        <w:rPr>
          <w:rFonts w:hint="default" w:ascii="Arial" w:hAnsi="Arial" w:eastAsia="Calibri" w:cs="Arial"/>
          <w:sz w:val="17"/>
          <w:szCs w:val="17"/>
        </w:rPr>
        <w:t>tid</w:t>
      </w:r>
      <w:r>
        <w:rPr>
          <w:rFonts w:hint="default" w:ascii="Arial" w:hAnsi="Arial" w:cs="Arial"/>
          <w:sz w:val="17"/>
          <w:szCs w:val="17"/>
        </w:rPr>
        <w:t>ade gerenciadora procederá ao cancelamento da ata de registro de preços, adotando as medidas cabíveis para obtenção de contratação mais vantajosa.</w:t>
      </w:r>
      <w:bookmarkStart w:id="50" w:name="reducao_preco_mercado_negociacao_frustra"/>
      <w:bookmarkEnd w:id="50"/>
    </w:p>
    <w:p w14:paraId="5C41868D">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8.1.4. </w:t>
      </w:r>
      <w:r>
        <w:rPr>
          <w:rFonts w:hint="default" w:ascii="Arial" w:hAnsi="Arial" w:cs="Arial"/>
          <w:sz w:val="17"/>
          <w:szCs w:val="17"/>
        </w:rPr>
        <w:t>Na hipótese de redução do preço registrado, o gerenciador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para que avaliem a conveniência e a oportunidade de diligenciarem negociação com vistas à alteração contratual, observado o disposto no art. 124 da Lei nº 14.133, de 2021.</w:t>
      </w:r>
    </w:p>
    <w:p w14:paraId="7A0E19B0">
      <w:pPr>
        <w:pStyle w:val="303"/>
        <w:numPr>
          <w:ilvl w:val="0"/>
          <w:numId w:val="0"/>
        </w:numPr>
        <w:tabs>
          <w:tab w:val="left" w:pos="567"/>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8.2 </w:t>
      </w:r>
      <w:r>
        <w:rPr>
          <w:rFonts w:hint="default" w:ascii="Arial" w:hAnsi="Arial" w:cs="Arial"/>
          <w:sz w:val="17"/>
          <w:szCs w:val="17"/>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1" w:name="hipotese_preco_mercado_maior"/>
      <w:bookmarkEnd w:id="51"/>
    </w:p>
    <w:p w14:paraId="7C1E634C">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8.2.1. </w:t>
      </w:r>
      <w:r>
        <w:rPr>
          <w:rFonts w:hint="default" w:ascii="Arial" w:hAnsi="Arial" w:cs="Arial"/>
          <w:sz w:val="17"/>
          <w:szCs w:val="17"/>
        </w:rPr>
        <w:t>Neste caso, o fornecedor encaminhará, juntamente com o pedido de alteração, a documentação comprobatória ou a planilha de custos que demonstre a inviabilidade do preço registrado em relação às condições inicialmente pactuadas.</w:t>
      </w:r>
      <w:bookmarkStart w:id="52" w:name="prova_preco_mercado_maior"/>
      <w:bookmarkEnd w:id="52"/>
    </w:p>
    <w:p w14:paraId="3B493554">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8.2.2. </w:t>
      </w:r>
      <w:r>
        <w:rPr>
          <w:rFonts w:hint="default" w:ascii="Arial" w:hAnsi="Arial" w:cs="Arial"/>
          <w:sz w:val="17"/>
          <w:szCs w:val="17"/>
        </w:rPr>
        <w:t>Não hipótese de não comprovação da existência de fato superveniente que inviabilize o preço registrado, o pedido será indeferido pelo órgão ou en</w:t>
      </w:r>
      <w:r>
        <w:rPr>
          <w:rFonts w:hint="default" w:ascii="Arial" w:hAnsi="Arial" w:eastAsia="Calibri" w:cs="Arial"/>
          <w:sz w:val="17"/>
          <w:szCs w:val="17"/>
        </w:rPr>
        <w:t>ti</w:t>
      </w:r>
      <w:r>
        <w:rPr>
          <w:rFonts w:hint="default" w:ascii="Arial" w:hAnsi="Arial" w:cs="Arial"/>
          <w:sz w:val="17"/>
          <w:szCs w:val="17"/>
        </w:rPr>
        <w:t xml:space="preserve">dade gerenciadora e o fornecedor deverá cumprir as obrigações estabelecidas na ata, sob pena de cancelamento do seu registro,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cancelamento_do_fornecedor \r \h  \* MERGEFORMAT </w:instrText>
      </w:r>
      <w:r>
        <w:rPr>
          <w:rFonts w:hint="default" w:ascii="Arial" w:hAnsi="Arial" w:cs="Arial"/>
          <w:sz w:val="17"/>
          <w:szCs w:val="17"/>
        </w:rPr>
        <w:fldChar w:fldCharType="separate"/>
      </w:r>
      <w:r>
        <w:rPr>
          <w:rFonts w:hint="default" w:ascii="Arial" w:hAnsi="Arial" w:cs="Arial"/>
          <w:sz w:val="17"/>
          <w:szCs w:val="17"/>
        </w:rPr>
        <w:t>9.1</w:t>
      </w:r>
      <w:r>
        <w:rPr>
          <w:rFonts w:hint="default" w:ascii="Arial" w:hAnsi="Arial" w:cs="Arial"/>
          <w:sz w:val="17"/>
          <w:szCs w:val="17"/>
        </w:rPr>
        <w:fldChar w:fldCharType="end"/>
      </w:r>
      <w:r>
        <w:rPr>
          <w:rFonts w:hint="default" w:ascii="Arial" w:hAnsi="Arial" w:cs="Arial"/>
          <w:sz w:val="17"/>
          <w:szCs w:val="17"/>
        </w:rPr>
        <w:t>, sem prejuízo das sanções previstas na Lei nº 14.133, de 2021, e na legislação aplicável.</w:t>
      </w:r>
      <w:bookmarkStart w:id="53" w:name="nao_comprovacao_majoracao_mercado"/>
      <w:bookmarkEnd w:id="53"/>
    </w:p>
    <w:p w14:paraId="41C1948C">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8.2.3. </w:t>
      </w:r>
      <w:r>
        <w:rPr>
          <w:rFonts w:hint="default" w:ascii="Arial" w:hAnsi="Arial" w:cs="Arial"/>
          <w:sz w:val="17"/>
          <w:szCs w:val="17"/>
        </w:rPr>
        <w:t>Na hipótese de cancelamento do registro do fornecedor, nos termos do item anterior, o gerenciador convocará os fornecedores do cadastro de reserva, na ordem de classificação, para verificar se aceitam manter seus preços registrados</w:t>
      </w:r>
      <w:r>
        <w:rPr>
          <w:rFonts w:hint="default" w:ascii="Arial" w:hAnsi="Arial" w:cs="Arial"/>
          <w:sz w:val="17"/>
          <w:szCs w:val="17"/>
          <w:lang w:val="pt-BR"/>
        </w:rPr>
        <w:t>.</w:t>
      </w:r>
    </w:p>
    <w:p w14:paraId="090D3E2D">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8.2.4. </w:t>
      </w:r>
      <w:r>
        <w:rPr>
          <w:rFonts w:hint="default" w:ascii="Arial" w:hAnsi="Arial" w:cs="Arial"/>
          <w:sz w:val="17"/>
          <w:szCs w:val="17"/>
        </w:rPr>
        <w:t xml:space="preserve">Se não obtiver êxito nas negociações, o órgão ou entidade gerenciadora procederá ao cancelamento da ata de registro de preços, nos termos do item </w:t>
      </w:r>
      <w:r>
        <w:rPr>
          <w:rFonts w:hint="default" w:ascii="Arial" w:hAnsi="Arial" w:cs="Arial"/>
          <w:sz w:val="17"/>
          <w:szCs w:val="17"/>
        </w:rPr>
        <w:fldChar w:fldCharType="begin"/>
      </w:r>
      <w:r>
        <w:rPr>
          <w:rFonts w:hint="default" w:ascii="Arial" w:hAnsi="Arial" w:cs="Arial"/>
          <w:sz w:val="17"/>
          <w:szCs w:val="17"/>
        </w:rPr>
        <w:instrText xml:space="preserve"> REF cancelamento_da_ata \r \h  \* MERGEFORMAT </w:instrText>
      </w:r>
      <w:r>
        <w:rPr>
          <w:rFonts w:hint="default" w:ascii="Arial" w:hAnsi="Arial" w:cs="Arial"/>
          <w:sz w:val="17"/>
          <w:szCs w:val="17"/>
        </w:rPr>
        <w:fldChar w:fldCharType="separate"/>
      </w:r>
      <w:r>
        <w:rPr>
          <w:rFonts w:hint="default" w:ascii="Arial" w:hAnsi="Arial" w:cs="Arial"/>
          <w:sz w:val="17"/>
          <w:szCs w:val="17"/>
        </w:rPr>
        <w:t>9.4</w:t>
      </w:r>
      <w:r>
        <w:rPr>
          <w:rFonts w:hint="default" w:ascii="Arial" w:hAnsi="Arial" w:cs="Arial"/>
          <w:sz w:val="17"/>
          <w:szCs w:val="17"/>
        </w:rPr>
        <w:fldChar w:fldCharType="end"/>
      </w:r>
      <w:r>
        <w:rPr>
          <w:rFonts w:hint="default" w:ascii="Arial" w:hAnsi="Arial" w:cs="Arial"/>
          <w:sz w:val="17"/>
          <w:szCs w:val="17"/>
        </w:rPr>
        <w:t>, e adotará as medidas cabíveis para a obtenção da contratação mais vantajosa.</w:t>
      </w:r>
      <w:bookmarkStart w:id="54" w:name="majora_preco_mercado_negociacao_frustra"/>
      <w:bookmarkEnd w:id="54"/>
    </w:p>
    <w:p w14:paraId="45FE5BF2">
      <w:pPr>
        <w:pStyle w:val="316"/>
        <w:numPr>
          <w:ilvl w:val="2"/>
          <w:numId w:val="0"/>
        </w:numPr>
        <w:tabs>
          <w:tab w:val="left" w:pos="567"/>
        </w:tabs>
        <w:spacing w:before="0" w:after="0" w:line="240" w:lineRule="auto"/>
        <w:ind w:leftChars="0"/>
        <w:rPr>
          <w:rFonts w:hint="default" w:ascii="Arial" w:hAnsi="Arial" w:cs="Arial"/>
          <w:sz w:val="17"/>
          <w:szCs w:val="17"/>
        </w:rPr>
      </w:pPr>
      <w:r>
        <w:rPr>
          <w:rFonts w:hint="default" w:cs="Arial"/>
          <w:sz w:val="17"/>
          <w:szCs w:val="17"/>
          <w:lang w:val="pt-BR"/>
        </w:rPr>
        <w:t xml:space="preserve">8.2.5. </w:t>
      </w:r>
      <w:r>
        <w:rPr>
          <w:rFonts w:hint="default" w:ascii="Arial" w:hAnsi="Arial" w:cs="Arial"/>
          <w:sz w:val="17"/>
          <w:szCs w:val="17"/>
        </w:rPr>
        <w:t xml:space="preserve">Na hipótese de comprovação da majoração do preço de mercado que inviabilize o preço registrado, conforme previsto no item </w:t>
      </w:r>
      <w:r>
        <w:rPr>
          <w:rFonts w:hint="default" w:ascii="Arial" w:hAnsi="Arial" w:cs="Arial"/>
          <w:sz w:val="17"/>
          <w:szCs w:val="17"/>
        </w:rPr>
        <w:fldChar w:fldCharType="begin"/>
      </w:r>
      <w:r>
        <w:rPr>
          <w:rFonts w:hint="default" w:ascii="Arial" w:hAnsi="Arial" w:cs="Arial"/>
          <w:sz w:val="17"/>
          <w:szCs w:val="17"/>
        </w:rPr>
        <w:instrText xml:space="preserve"> REF hipotese_preco_mercado_maior \r \h  \* MERGEFORMAT </w:instrText>
      </w:r>
      <w:r>
        <w:rPr>
          <w:rFonts w:hint="default" w:ascii="Arial" w:hAnsi="Arial" w:cs="Arial"/>
          <w:sz w:val="17"/>
          <w:szCs w:val="17"/>
        </w:rPr>
        <w:fldChar w:fldCharType="separate"/>
      </w:r>
      <w:r>
        <w:rPr>
          <w:rFonts w:hint="default" w:ascii="Arial" w:hAnsi="Arial" w:cs="Arial"/>
          <w:sz w:val="17"/>
          <w:szCs w:val="17"/>
        </w:rPr>
        <w:t>8.2</w:t>
      </w:r>
      <w:r>
        <w:rPr>
          <w:rFonts w:hint="default" w:ascii="Arial" w:hAnsi="Arial" w:cs="Arial"/>
          <w:sz w:val="17"/>
          <w:szCs w:val="17"/>
        </w:rPr>
        <w:fldChar w:fldCharType="end"/>
      </w:r>
      <w:r>
        <w:rPr>
          <w:rFonts w:hint="default" w:ascii="Arial" w:hAnsi="Arial" w:cs="Arial"/>
          <w:sz w:val="17"/>
          <w:szCs w:val="17"/>
        </w:rPr>
        <w:t xml:space="preserve"> e no item </w:t>
      </w:r>
      <w:r>
        <w:rPr>
          <w:rFonts w:hint="default" w:ascii="Arial" w:hAnsi="Arial" w:cs="Arial"/>
          <w:sz w:val="17"/>
          <w:szCs w:val="17"/>
        </w:rPr>
        <w:fldChar w:fldCharType="begin"/>
      </w:r>
      <w:r>
        <w:rPr>
          <w:rFonts w:hint="default" w:ascii="Arial" w:hAnsi="Arial" w:cs="Arial"/>
          <w:sz w:val="17"/>
          <w:szCs w:val="17"/>
        </w:rPr>
        <w:instrText xml:space="preserve"> REF prova_preco_mercado_maior \r \h  \* MERGEFORMAT </w:instrText>
      </w:r>
      <w:r>
        <w:rPr>
          <w:rFonts w:hint="default" w:ascii="Arial" w:hAnsi="Arial" w:cs="Arial"/>
          <w:sz w:val="17"/>
          <w:szCs w:val="17"/>
        </w:rPr>
        <w:fldChar w:fldCharType="separate"/>
      </w:r>
      <w:r>
        <w:rPr>
          <w:rFonts w:hint="default" w:ascii="Arial" w:hAnsi="Arial" w:cs="Arial"/>
          <w:sz w:val="17"/>
          <w:szCs w:val="17"/>
        </w:rPr>
        <w:t>8.2.1</w:t>
      </w:r>
      <w:r>
        <w:rPr>
          <w:rFonts w:hint="default" w:ascii="Arial" w:hAnsi="Arial" w:cs="Arial"/>
          <w:sz w:val="17"/>
          <w:szCs w:val="17"/>
        </w:rPr>
        <w:fldChar w:fldCharType="end"/>
      </w:r>
      <w:r>
        <w:rPr>
          <w:rFonts w:hint="default" w:ascii="Arial" w:hAnsi="Arial" w:cs="Arial"/>
          <w:sz w:val="17"/>
          <w:szCs w:val="17"/>
        </w:rPr>
        <w:t>, o órgão ou en</w:t>
      </w:r>
      <w:r>
        <w:rPr>
          <w:rFonts w:hint="default" w:ascii="Arial" w:hAnsi="Arial" w:eastAsia="Calibri" w:cs="Arial"/>
          <w:sz w:val="17"/>
          <w:szCs w:val="17"/>
        </w:rPr>
        <w:t>ti</w:t>
      </w:r>
      <w:r>
        <w:rPr>
          <w:rFonts w:hint="default" w:ascii="Arial" w:hAnsi="Arial" w:cs="Arial"/>
          <w:sz w:val="17"/>
          <w:szCs w:val="17"/>
        </w:rPr>
        <w:t>dade gerenciadora atualizará o preço registrado, de acordo com a realidade dos valores praticados pelo mercado.</w:t>
      </w:r>
    </w:p>
    <w:p w14:paraId="2E115053">
      <w:pPr>
        <w:tabs>
          <w:tab w:val="left" w:pos="567"/>
        </w:tabs>
        <w:spacing w:line="240" w:lineRule="auto"/>
        <w:rPr>
          <w:rFonts w:hint="default" w:ascii="Arial" w:hAnsi="Arial" w:cs="Arial"/>
          <w:sz w:val="17"/>
          <w:szCs w:val="17"/>
        </w:rPr>
      </w:pPr>
      <w:r>
        <w:rPr>
          <w:rFonts w:hint="default" w:ascii="Arial" w:hAnsi="Arial" w:cs="Arial"/>
          <w:b w:val="0"/>
          <w:bCs w:val="0"/>
          <w:sz w:val="17"/>
          <w:szCs w:val="17"/>
        </w:rPr>
        <w:t>8.2.6</w:t>
      </w:r>
      <w:r>
        <w:rPr>
          <w:rFonts w:hint="default" w:ascii="Arial" w:hAnsi="Arial" w:cs="Arial"/>
          <w:b w:val="0"/>
          <w:bCs w:val="0"/>
          <w:sz w:val="17"/>
          <w:szCs w:val="17"/>
          <w:lang w:val="pt-BR"/>
        </w:rPr>
        <w:t>.</w:t>
      </w:r>
      <w:r>
        <w:rPr>
          <w:rFonts w:hint="default" w:ascii="Arial" w:hAnsi="Arial" w:cs="Arial"/>
          <w:b w:val="0"/>
          <w:bCs w:val="0"/>
          <w:sz w:val="17"/>
          <w:szCs w:val="17"/>
        </w:rPr>
        <w:t xml:space="preserve"> </w:t>
      </w:r>
      <w:r>
        <w:rPr>
          <w:rFonts w:hint="default" w:ascii="Arial" w:hAnsi="Arial" w:cs="Arial"/>
          <w:sz w:val="17"/>
          <w:szCs w:val="17"/>
        </w:rPr>
        <w:t>O órgão ou en</w:t>
      </w:r>
      <w:r>
        <w:rPr>
          <w:rFonts w:hint="default" w:ascii="Arial" w:hAnsi="Arial" w:eastAsia="Calibri" w:cs="Arial"/>
          <w:sz w:val="17"/>
          <w:szCs w:val="17"/>
        </w:rPr>
        <w:t>ti</w:t>
      </w:r>
      <w:r>
        <w:rPr>
          <w:rFonts w:hint="default" w:ascii="Arial" w:hAnsi="Arial" w:cs="Arial"/>
          <w:sz w:val="17"/>
          <w:szCs w:val="17"/>
        </w:rPr>
        <w:t>dade gerenciadora comunicará aos órgãos e às en</w:t>
      </w:r>
      <w:r>
        <w:rPr>
          <w:rFonts w:hint="default" w:ascii="Arial" w:hAnsi="Arial" w:eastAsia="Calibri" w:cs="Arial"/>
          <w:sz w:val="17"/>
          <w:szCs w:val="17"/>
        </w:rPr>
        <w:t>ti</w:t>
      </w:r>
      <w:r>
        <w:rPr>
          <w:rFonts w:hint="default" w:ascii="Arial" w:hAnsi="Arial" w:cs="Arial"/>
          <w:sz w:val="17"/>
          <w:szCs w:val="17"/>
        </w:rPr>
        <w:t xml:space="preserve">dades que </w:t>
      </w:r>
      <w:r>
        <w:rPr>
          <w:rFonts w:hint="default" w:ascii="Arial" w:hAnsi="Arial" w:eastAsia="Calibri" w:cs="Arial"/>
          <w:sz w:val="17"/>
          <w:szCs w:val="17"/>
        </w:rPr>
        <w:t>ti</w:t>
      </w:r>
      <w:r>
        <w:rPr>
          <w:rFonts w:hint="default" w:ascii="Arial" w:hAnsi="Arial" w:cs="Arial"/>
          <w:sz w:val="17"/>
          <w:szCs w:val="17"/>
        </w:rPr>
        <w:t>verem firmado contratos decorrentes da ata de registro de preços sobre a efe</w:t>
      </w:r>
      <w:r>
        <w:rPr>
          <w:rFonts w:hint="default" w:ascii="Arial" w:hAnsi="Arial" w:eastAsia="Calibri" w:cs="Arial"/>
          <w:sz w:val="17"/>
          <w:szCs w:val="17"/>
        </w:rPr>
        <w:t>ti</w:t>
      </w:r>
      <w:r>
        <w:rPr>
          <w:rFonts w:hint="default" w:ascii="Arial" w:hAnsi="Arial" w:cs="Arial"/>
          <w:sz w:val="17"/>
          <w:szCs w:val="17"/>
        </w:rPr>
        <w:t>va alteração do preço registrado, para que avaliem a necessidade de alteração contratual, observado o disposto no art. 124 da Lei nº 14.133, de 2021</w:t>
      </w:r>
      <w:r>
        <w:rPr>
          <w:rFonts w:hint="default" w:ascii="Arial" w:hAnsi="Arial" w:cs="Arial"/>
          <w:sz w:val="17"/>
          <w:szCs w:val="17"/>
          <w:lang w:val="pt-BR"/>
        </w:rPr>
        <w:t>.</w:t>
      </w:r>
      <w:r>
        <w:rPr>
          <w:rFonts w:hint="default" w:ascii="Arial" w:hAnsi="Arial" w:cs="Arial"/>
          <w:sz w:val="17"/>
          <w:szCs w:val="17"/>
        </w:rPr>
        <w:t xml:space="preserve"> </w:t>
      </w:r>
    </w:p>
    <w:p w14:paraId="13DF4671">
      <w:pPr>
        <w:tabs>
          <w:tab w:val="left" w:pos="7526"/>
        </w:tabs>
        <w:spacing w:line="240" w:lineRule="auto"/>
        <w:jc w:val="both"/>
        <w:rPr>
          <w:rFonts w:hint="default" w:ascii="Arial" w:hAnsi="Arial" w:cs="Arial"/>
          <w:bCs/>
          <w:sz w:val="17"/>
          <w:szCs w:val="17"/>
        </w:rPr>
      </w:pPr>
    </w:p>
    <w:p w14:paraId="5CC1A12B">
      <w:pPr>
        <w:spacing w:line="240" w:lineRule="auto"/>
        <w:jc w:val="both"/>
        <w:rPr>
          <w:rFonts w:hint="default" w:ascii="Arial" w:hAnsi="Arial" w:cs="Arial"/>
          <w:b/>
          <w:bCs/>
          <w:sz w:val="17"/>
          <w:szCs w:val="17"/>
        </w:rPr>
      </w:pPr>
      <w:r>
        <w:rPr>
          <w:rFonts w:hint="default" w:ascii="Arial" w:hAnsi="Arial" w:cs="Arial"/>
          <w:b/>
          <w:bCs/>
          <w:sz w:val="17"/>
          <w:szCs w:val="17"/>
        </w:rPr>
        <w:t>CLÁUSULA NONA – CANCELAMENTO DO REGISTRO DO LICITANTE VENCEDOR E DOS PREÇOS REGISTRADOS</w:t>
      </w:r>
    </w:p>
    <w:p w14:paraId="695BE0E4">
      <w:pPr>
        <w:numPr>
          <w:ilvl w:val="0"/>
          <w:numId w:val="0"/>
        </w:numPr>
        <w:tabs>
          <w:tab w:val="left" w:pos="567"/>
        </w:tabs>
        <w:spacing w:line="240" w:lineRule="auto"/>
        <w:rPr>
          <w:rFonts w:hint="default" w:ascii="Arial" w:hAnsi="Arial" w:cs="Arial"/>
          <w:b w:val="0"/>
          <w:bCs w:val="0"/>
          <w:sz w:val="17"/>
          <w:szCs w:val="17"/>
        </w:rPr>
      </w:pPr>
      <w:r>
        <w:rPr>
          <w:rFonts w:hint="default" w:ascii="Arial" w:hAnsi="Arial" w:cs="Arial"/>
          <w:b w:val="0"/>
          <w:bCs w:val="0"/>
          <w:sz w:val="17"/>
          <w:szCs w:val="17"/>
          <w:lang w:val="pt-BR"/>
        </w:rPr>
        <w:t xml:space="preserve">9.1. </w:t>
      </w:r>
      <w:r>
        <w:rPr>
          <w:rFonts w:hint="default" w:ascii="Arial" w:hAnsi="Arial" w:cs="Arial"/>
          <w:b w:val="0"/>
          <w:bCs w:val="0"/>
          <w:sz w:val="17"/>
          <w:szCs w:val="17"/>
        </w:rPr>
        <w:t>O registro do fornecedor será cancelado pelo gerenciador, quando o fornecedor:</w:t>
      </w:r>
      <w:bookmarkStart w:id="55" w:name="cancelamento_do_fornecedor"/>
      <w:bookmarkEnd w:id="55"/>
    </w:p>
    <w:p w14:paraId="73300CB6">
      <w:pPr>
        <w:pStyle w:val="220"/>
        <w:numPr>
          <w:ilvl w:val="0"/>
          <w:numId w:val="26"/>
        </w:numPr>
        <w:spacing w:line="240" w:lineRule="auto"/>
        <w:contextualSpacing w:val="0"/>
        <w:jc w:val="both"/>
        <w:rPr>
          <w:rFonts w:hint="default" w:ascii="Arial" w:hAnsi="Arial" w:cs="Arial" w:eastAsiaTheme="minorHAnsi"/>
          <w:vanish/>
          <w:sz w:val="17"/>
          <w:szCs w:val="17"/>
          <w:lang w:eastAsia="en-US"/>
        </w:rPr>
      </w:pPr>
    </w:p>
    <w:p w14:paraId="28F0D88B">
      <w:pPr>
        <w:pStyle w:val="220"/>
        <w:numPr>
          <w:ilvl w:val="0"/>
          <w:numId w:val="26"/>
        </w:numPr>
        <w:spacing w:line="240" w:lineRule="auto"/>
        <w:contextualSpacing w:val="0"/>
        <w:jc w:val="both"/>
        <w:rPr>
          <w:rFonts w:hint="default" w:ascii="Arial" w:hAnsi="Arial" w:cs="Arial" w:eastAsiaTheme="minorHAnsi"/>
          <w:vanish/>
          <w:sz w:val="17"/>
          <w:szCs w:val="17"/>
          <w:lang w:eastAsia="en-US"/>
        </w:rPr>
      </w:pPr>
    </w:p>
    <w:p w14:paraId="57E40F42">
      <w:pPr>
        <w:pStyle w:val="220"/>
        <w:numPr>
          <w:ilvl w:val="0"/>
          <w:numId w:val="26"/>
        </w:numPr>
        <w:spacing w:line="240" w:lineRule="auto"/>
        <w:contextualSpacing w:val="0"/>
        <w:jc w:val="both"/>
        <w:rPr>
          <w:rFonts w:hint="default" w:ascii="Arial" w:hAnsi="Arial" w:cs="Arial" w:eastAsiaTheme="minorHAnsi"/>
          <w:vanish/>
          <w:sz w:val="17"/>
          <w:szCs w:val="17"/>
          <w:lang w:eastAsia="en-US"/>
        </w:rPr>
      </w:pPr>
    </w:p>
    <w:p w14:paraId="2BF879A8">
      <w:pPr>
        <w:pStyle w:val="220"/>
        <w:numPr>
          <w:ilvl w:val="0"/>
          <w:numId w:val="26"/>
        </w:numPr>
        <w:spacing w:line="240" w:lineRule="auto"/>
        <w:contextualSpacing w:val="0"/>
        <w:jc w:val="both"/>
        <w:rPr>
          <w:rFonts w:hint="default" w:ascii="Arial" w:hAnsi="Arial" w:cs="Arial" w:eastAsiaTheme="minorHAnsi"/>
          <w:vanish/>
          <w:sz w:val="17"/>
          <w:szCs w:val="17"/>
          <w:lang w:eastAsia="en-US"/>
        </w:rPr>
      </w:pPr>
    </w:p>
    <w:p w14:paraId="624CA3DE">
      <w:pPr>
        <w:pStyle w:val="220"/>
        <w:numPr>
          <w:ilvl w:val="0"/>
          <w:numId w:val="26"/>
        </w:numPr>
        <w:spacing w:line="240" w:lineRule="auto"/>
        <w:contextualSpacing w:val="0"/>
        <w:jc w:val="both"/>
        <w:rPr>
          <w:rFonts w:hint="default" w:ascii="Arial" w:hAnsi="Arial" w:cs="Arial" w:eastAsiaTheme="minorHAnsi"/>
          <w:vanish/>
          <w:sz w:val="17"/>
          <w:szCs w:val="17"/>
          <w:lang w:eastAsia="en-US"/>
        </w:rPr>
      </w:pPr>
    </w:p>
    <w:p w14:paraId="28D09D34">
      <w:pPr>
        <w:pStyle w:val="220"/>
        <w:numPr>
          <w:ilvl w:val="0"/>
          <w:numId w:val="26"/>
        </w:numPr>
        <w:spacing w:line="240" w:lineRule="auto"/>
        <w:contextualSpacing w:val="0"/>
        <w:jc w:val="both"/>
        <w:rPr>
          <w:rFonts w:hint="default" w:ascii="Arial" w:hAnsi="Arial" w:cs="Arial" w:eastAsiaTheme="minorHAnsi"/>
          <w:vanish/>
          <w:sz w:val="17"/>
          <w:szCs w:val="17"/>
          <w:lang w:eastAsia="en-US"/>
        </w:rPr>
      </w:pPr>
    </w:p>
    <w:p w14:paraId="0EF2EC05">
      <w:pPr>
        <w:pStyle w:val="220"/>
        <w:numPr>
          <w:ilvl w:val="0"/>
          <w:numId w:val="26"/>
        </w:numPr>
        <w:spacing w:line="240" w:lineRule="auto"/>
        <w:contextualSpacing w:val="0"/>
        <w:jc w:val="both"/>
        <w:rPr>
          <w:rFonts w:hint="default" w:ascii="Arial" w:hAnsi="Arial" w:cs="Arial" w:eastAsiaTheme="minorHAnsi"/>
          <w:vanish/>
          <w:sz w:val="17"/>
          <w:szCs w:val="17"/>
          <w:lang w:eastAsia="en-US"/>
        </w:rPr>
      </w:pPr>
    </w:p>
    <w:p w14:paraId="2060E361">
      <w:pPr>
        <w:pStyle w:val="220"/>
        <w:numPr>
          <w:ilvl w:val="0"/>
          <w:numId w:val="26"/>
        </w:numPr>
        <w:spacing w:line="240" w:lineRule="auto"/>
        <w:contextualSpacing w:val="0"/>
        <w:jc w:val="both"/>
        <w:rPr>
          <w:rFonts w:hint="default" w:ascii="Arial" w:hAnsi="Arial" w:cs="Arial" w:eastAsiaTheme="minorHAnsi"/>
          <w:vanish/>
          <w:sz w:val="17"/>
          <w:szCs w:val="17"/>
          <w:lang w:eastAsia="en-US"/>
        </w:rPr>
      </w:pPr>
    </w:p>
    <w:p w14:paraId="323F2EB6">
      <w:pPr>
        <w:pStyle w:val="220"/>
        <w:numPr>
          <w:ilvl w:val="1"/>
          <w:numId w:val="26"/>
        </w:numPr>
        <w:spacing w:line="240" w:lineRule="auto"/>
        <w:contextualSpacing w:val="0"/>
        <w:jc w:val="both"/>
        <w:rPr>
          <w:rFonts w:hint="default" w:ascii="Arial" w:hAnsi="Arial" w:cs="Arial" w:eastAsiaTheme="minorHAnsi"/>
          <w:vanish/>
          <w:sz w:val="17"/>
          <w:szCs w:val="17"/>
          <w:lang w:eastAsia="en-US"/>
        </w:rPr>
      </w:pPr>
    </w:p>
    <w:p w14:paraId="0E3F83A3">
      <w:pPr>
        <w:pStyle w:val="316"/>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9.1.1. </w:t>
      </w:r>
      <w:r>
        <w:rPr>
          <w:rFonts w:hint="default" w:ascii="Arial" w:hAnsi="Arial" w:cs="Arial"/>
          <w:sz w:val="17"/>
          <w:szCs w:val="17"/>
        </w:rPr>
        <w:t>Descumprir as condições da ata de registro de preços, sem motivo justificado;</w:t>
      </w:r>
    </w:p>
    <w:p w14:paraId="329DB249">
      <w:pPr>
        <w:pStyle w:val="316"/>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9.1.2. </w:t>
      </w:r>
      <w:r>
        <w:rPr>
          <w:rFonts w:hint="default" w:ascii="Arial" w:hAnsi="Arial" w:cs="Arial"/>
          <w:sz w:val="17"/>
          <w:szCs w:val="17"/>
        </w:rPr>
        <w:t>Não re</w:t>
      </w:r>
      <w:r>
        <w:rPr>
          <w:rFonts w:hint="default" w:ascii="Arial" w:hAnsi="Arial" w:eastAsia="Arial" w:cs="Arial"/>
          <w:sz w:val="17"/>
          <w:szCs w:val="17"/>
        </w:rPr>
        <w:t>ti</w:t>
      </w:r>
      <w:r>
        <w:rPr>
          <w:rFonts w:hint="default" w:ascii="Arial" w:hAnsi="Arial" w:cs="Arial"/>
          <w:sz w:val="17"/>
          <w:szCs w:val="17"/>
        </w:rPr>
        <w:t>rar a nota de empenho, ou instrumento equivalente, no prazo estabelecido pela Administração sem justificativa razoável;</w:t>
      </w:r>
    </w:p>
    <w:p w14:paraId="54AA6115">
      <w:pPr>
        <w:pStyle w:val="316"/>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9.1.3. </w:t>
      </w:r>
      <w:r>
        <w:rPr>
          <w:rFonts w:hint="default" w:ascii="Arial" w:hAnsi="Arial" w:cs="Arial"/>
          <w:sz w:val="17"/>
          <w:szCs w:val="17"/>
        </w:rPr>
        <w:t>Não aceitar manter seu preço registrado, na hipótese prevista no artigo 27, § 2º, do Decreto nº 11.462, de 2023; ou</w:t>
      </w:r>
    </w:p>
    <w:p w14:paraId="1CD5B0FA">
      <w:pPr>
        <w:pStyle w:val="316"/>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9.1.4. </w:t>
      </w:r>
      <w:r>
        <w:rPr>
          <w:rFonts w:hint="default" w:ascii="Arial" w:hAnsi="Arial" w:cs="Arial"/>
          <w:sz w:val="17"/>
          <w:szCs w:val="17"/>
        </w:rPr>
        <w:t>Sofrer sanção prevista nos incisos III ou IV do caput do art. 156 da Lei nº 14.133, de 2021.</w:t>
      </w:r>
    </w:p>
    <w:p w14:paraId="7E4C1D78">
      <w:pPr>
        <w:pStyle w:val="318"/>
        <w:numPr>
          <w:ilvl w:val="0"/>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9.1.4.1. </w:t>
      </w:r>
      <w:r>
        <w:rPr>
          <w:rFonts w:hint="default" w:ascii="Arial" w:hAnsi="Arial" w:cs="Arial"/>
          <w:sz w:val="17"/>
          <w:szCs w:val="17"/>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2D90F9F">
      <w:pPr>
        <w:pStyle w:val="303"/>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9.2. </w:t>
      </w:r>
      <w:r>
        <w:rPr>
          <w:rFonts w:hint="default" w:ascii="Arial" w:hAnsi="Arial" w:cs="Arial"/>
          <w:sz w:val="17"/>
          <w:szCs w:val="17"/>
        </w:rPr>
        <w:t xml:space="preserve">O cancelamento de registros nas hipóteses previstas </w:t>
      </w:r>
      <w:r>
        <w:rPr>
          <w:rFonts w:hint="default" w:cs="Arial"/>
          <w:sz w:val="17"/>
          <w:szCs w:val="17"/>
          <w:lang w:val="pt-BR"/>
        </w:rPr>
        <w:t xml:space="preserve"> </w:t>
      </w:r>
      <w:r>
        <w:rPr>
          <w:rFonts w:hint="default" w:ascii="Arial" w:hAnsi="Arial" w:cs="Arial"/>
          <w:sz w:val="17"/>
          <w:szCs w:val="17"/>
        </w:rPr>
        <w:t>será formalizado por despacho do órgão ou da entidade gerenciadora, garantidos os princípios do contraditório e da ampla defesa.</w:t>
      </w:r>
    </w:p>
    <w:p w14:paraId="6C293DA6">
      <w:pPr>
        <w:pStyle w:val="303"/>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9.3. </w:t>
      </w:r>
      <w:r>
        <w:rPr>
          <w:rFonts w:hint="default" w:ascii="Arial" w:hAnsi="Arial" w:cs="Arial"/>
          <w:sz w:val="17"/>
          <w:szCs w:val="17"/>
        </w:rPr>
        <w:t>Na hipótese de cancelamento do registro do fornecedor, o órgão ou a entidade gerenciadora poderá convocar os licitantes que compõem o cadastro de reserva, observada a ordem de classificação.</w:t>
      </w:r>
    </w:p>
    <w:p w14:paraId="11B3E7B4">
      <w:pPr>
        <w:pStyle w:val="303"/>
        <w:numPr>
          <w:ilvl w:val="0"/>
          <w:numId w:val="0"/>
        </w:numPr>
        <w:tabs>
          <w:tab w:val="left" w:pos="426"/>
        </w:tabs>
        <w:autoSpaceDE w:val="0"/>
        <w:autoSpaceDN w:val="0"/>
        <w:adjustRightInd w:val="0"/>
        <w:spacing w:before="0" w:after="0" w:line="240" w:lineRule="auto"/>
        <w:ind w:leftChars="0"/>
        <w:rPr>
          <w:rFonts w:hint="default" w:ascii="Arial" w:hAnsi="Arial" w:cs="Arial"/>
          <w:sz w:val="17"/>
          <w:szCs w:val="17"/>
        </w:rPr>
      </w:pPr>
      <w:r>
        <w:rPr>
          <w:rFonts w:hint="default" w:cs="Arial"/>
          <w:sz w:val="17"/>
          <w:szCs w:val="17"/>
          <w:lang w:val="pt-BR"/>
        </w:rPr>
        <w:t xml:space="preserve">9.4. </w:t>
      </w:r>
      <w:r>
        <w:rPr>
          <w:rFonts w:hint="default" w:ascii="Arial" w:hAnsi="Arial" w:cs="Arial"/>
          <w:sz w:val="17"/>
          <w:szCs w:val="17"/>
        </w:rPr>
        <w:t>O cancelamento dos preços registrados poderá ser realizado pelo gerenciador, em determinada ata de registro de preços, total ou parcialmente, nas seguintes hipóteses, desde que devidamente comprovadas e justificadas:</w:t>
      </w:r>
      <w:bookmarkStart w:id="56" w:name="cancelamento_da_ata"/>
      <w:bookmarkEnd w:id="56"/>
    </w:p>
    <w:p w14:paraId="60440A0E">
      <w:pPr>
        <w:pStyle w:val="316"/>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9.4.1. </w:t>
      </w:r>
      <w:r>
        <w:rPr>
          <w:rFonts w:hint="default" w:ascii="Arial" w:hAnsi="Arial" w:cs="Arial"/>
          <w:sz w:val="17"/>
          <w:szCs w:val="17"/>
        </w:rPr>
        <w:t>Por razão de interesse público;</w:t>
      </w:r>
    </w:p>
    <w:p w14:paraId="587FF62B">
      <w:pPr>
        <w:pStyle w:val="316"/>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9.4.2. </w:t>
      </w:r>
      <w:r>
        <w:rPr>
          <w:rFonts w:hint="default" w:ascii="Arial" w:hAnsi="Arial" w:cs="Arial"/>
          <w:sz w:val="17"/>
          <w:szCs w:val="17"/>
        </w:rPr>
        <w:t>A pedido do fornecedor, decorrente de caso fortuito ou força maior; ou</w:t>
      </w:r>
    </w:p>
    <w:p w14:paraId="34440A35">
      <w:pPr>
        <w:pStyle w:val="316"/>
        <w:numPr>
          <w:ilvl w:val="2"/>
          <w:numId w:val="0"/>
        </w:numPr>
        <w:spacing w:before="0" w:after="0" w:line="240" w:lineRule="auto"/>
        <w:ind w:leftChars="0"/>
        <w:rPr>
          <w:rFonts w:hint="default" w:ascii="Arial" w:hAnsi="Arial" w:cs="Arial"/>
          <w:sz w:val="17"/>
          <w:szCs w:val="17"/>
        </w:rPr>
      </w:pPr>
      <w:r>
        <w:rPr>
          <w:rFonts w:hint="default" w:cs="Arial"/>
          <w:sz w:val="17"/>
          <w:szCs w:val="17"/>
          <w:lang w:val="pt-BR"/>
        </w:rPr>
        <w:t xml:space="preserve">9.4.3. </w:t>
      </w:r>
      <w:r>
        <w:rPr>
          <w:rFonts w:hint="default" w:ascii="Arial" w:hAnsi="Arial" w:cs="Arial"/>
          <w:sz w:val="17"/>
          <w:szCs w:val="17"/>
        </w:rPr>
        <w:t xml:space="preserve">Se não houver êxito nas negociações, nas hipóteses em que o preço de mercado tornar-se superior ou inferior ao preço registrado, nos termos do artigos 26, § 3º e 27, § 4º, ambos do Decreto nº 11.462, de 2023. </w:t>
      </w:r>
    </w:p>
    <w:p w14:paraId="29010142">
      <w:pPr>
        <w:spacing w:line="240" w:lineRule="auto"/>
        <w:jc w:val="both"/>
        <w:rPr>
          <w:rFonts w:hint="default" w:ascii="Arial" w:hAnsi="Arial" w:cs="Arial"/>
          <w:b/>
          <w:bCs/>
          <w:sz w:val="17"/>
          <w:szCs w:val="17"/>
        </w:rPr>
      </w:pPr>
    </w:p>
    <w:p w14:paraId="570CD5A4">
      <w:pPr>
        <w:spacing w:line="240" w:lineRule="auto"/>
        <w:jc w:val="both"/>
        <w:rPr>
          <w:rFonts w:hint="default" w:ascii="Arial" w:hAnsi="Arial" w:cs="Arial"/>
          <w:b/>
          <w:bCs/>
          <w:sz w:val="17"/>
          <w:szCs w:val="17"/>
        </w:rPr>
      </w:pPr>
      <w:r>
        <w:rPr>
          <w:rFonts w:hint="default" w:ascii="Arial" w:hAnsi="Arial" w:cs="Arial"/>
          <w:b/>
          <w:bCs/>
          <w:sz w:val="17"/>
          <w:szCs w:val="17"/>
        </w:rPr>
        <w:t>CLAUSULA DÉCIMA – DAS PENALIDADES</w:t>
      </w:r>
    </w:p>
    <w:p w14:paraId="6690BB61">
      <w:pPr>
        <w:pStyle w:val="304"/>
        <w:spacing w:before="0" w:after="0" w:line="240" w:lineRule="auto"/>
        <w:ind w:left="0"/>
        <w:rPr>
          <w:rFonts w:hint="default" w:ascii="Arial" w:hAnsi="Arial" w:cs="Arial"/>
          <w:color w:val="auto"/>
          <w:sz w:val="17"/>
          <w:szCs w:val="17"/>
          <w:shd w:val="clear" w:color="auto" w:fill="FFFFFF"/>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.1 O licitante ou o contratado será responsabilizado administrativamente pelas seguintes infrações, conforme </w:t>
      </w:r>
      <w:r>
        <w:rPr>
          <w:rFonts w:hint="default" w:ascii="Arial" w:hAnsi="Arial" w:cs="Arial"/>
          <w:color w:val="auto"/>
          <w:sz w:val="17"/>
          <w:szCs w:val="17"/>
          <w:shd w:val="clear" w:color="auto" w:fill="FFFFFF"/>
        </w:rPr>
        <w:t xml:space="preserve">disposto nos arts. 155 e seguintes da Lei nº 14.133/21. </w:t>
      </w:r>
    </w:p>
    <w:p w14:paraId="56183D07">
      <w:pPr>
        <w:pStyle w:val="303"/>
        <w:tabs>
          <w:tab w:val="left" w:pos="567"/>
        </w:tabs>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 Com fulcro na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w:instrText>
      </w:r>
      <w:r>
        <w:rPr>
          <w:rFonts w:hint="default" w:ascii="Arial" w:hAnsi="Arial" w:cs="Arial"/>
          <w:color w:val="auto"/>
          <w:sz w:val="17"/>
          <w:szCs w:val="17"/>
        </w:rPr>
        <w:fldChar w:fldCharType="separate"/>
      </w:r>
      <w:r>
        <w:rPr>
          <w:rStyle w:val="11"/>
          <w:rFonts w:hint="default" w:ascii="Arial" w:hAnsi="Arial" w:cs="Arial"/>
          <w:color w:val="auto"/>
          <w:sz w:val="17"/>
          <w:szCs w:val="17"/>
        </w:rPr>
        <w:t>Lei nº 14.133, de 2021</w:t>
      </w:r>
      <w:r>
        <w:rPr>
          <w:rStyle w:val="11"/>
          <w:rFonts w:hint="default" w:ascii="Arial" w:hAnsi="Arial" w:cs="Arial"/>
          <w:color w:val="auto"/>
          <w:sz w:val="17"/>
          <w:szCs w:val="17"/>
        </w:rPr>
        <w:fldChar w:fldCharType="end"/>
      </w:r>
      <w:r>
        <w:rPr>
          <w:rFonts w:hint="default" w:ascii="Arial" w:hAnsi="Arial" w:cs="Arial"/>
          <w:color w:val="auto"/>
          <w:sz w:val="17"/>
          <w:szCs w:val="17"/>
        </w:rPr>
        <w:t xml:space="preserve">, a Administração poderá, garantida a prévia defesa, aplicar aos licitantes e/ou adjudicatários as seguintes sanções, sem prejuízo das responsabilidades civil e criminal: </w:t>
      </w:r>
    </w:p>
    <w:p w14:paraId="6A23CE6C">
      <w:pPr>
        <w:pStyle w:val="304"/>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.2.1 advertência; </w:t>
      </w:r>
    </w:p>
    <w:p w14:paraId="6976FAEB">
      <w:pPr>
        <w:pStyle w:val="304"/>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.2.2 multa;</w:t>
      </w:r>
    </w:p>
    <w:p w14:paraId="3469A6BA">
      <w:pPr>
        <w:pStyle w:val="304"/>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.2.3 impedimento de licitar e contratar:</w:t>
      </w:r>
    </w:p>
    <w:p w14:paraId="2E4F3C3B">
      <w:pPr>
        <w:pStyle w:val="304"/>
        <w:tabs>
          <w:tab w:val="left" w:pos="1843"/>
        </w:tabs>
        <w:spacing w:before="0" w:after="0" w:line="240" w:lineRule="auto"/>
        <w:ind w:left="0"/>
        <w:rPr>
          <w:rFonts w:hint="default" w:ascii="Arial" w:hAnsi="Arial" w:cs="Arial"/>
          <w:b/>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7"/>
          <w:szCs w:val="17"/>
        </w:rPr>
        <w:t>aplicou a penalidade.</w:t>
      </w:r>
    </w:p>
    <w:p w14:paraId="6A38AB12">
      <w:pPr>
        <w:pStyle w:val="304"/>
        <w:tabs>
          <w:tab w:val="left" w:pos="1843"/>
        </w:tabs>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.2.5 na aplicação das sanções serão considerados:</w:t>
      </w:r>
    </w:p>
    <w:p w14:paraId="7E1BC70D">
      <w:pPr>
        <w:pStyle w:val="305"/>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.2.6 a natureza e a gravidade da infração cometida;</w:t>
      </w:r>
    </w:p>
    <w:p w14:paraId="68B840AD">
      <w:pPr>
        <w:pStyle w:val="305"/>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.2.7 as peculiaridades do caso concreto;</w:t>
      </w:r>
    </w:p>
    <w:p w14:paraId="29A7A46D">
      <w:pPr>
        <w:pStyle w:val="305"/>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.2.8 as circunstâncias agravantes ou atenuantes;</w:t>
      </w:r>
    </w:p>
    <w:p w14:paraId="6C85479B">
      <w:pPr>
        <w:pStyle w:val="305"/>
        <w:tabs>
          <w:tab w:val="left" w:pos="1985"/>
        </w:tabs>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.2.9 os danos que dela provierem para a Administração Pública;</w:t>
      </w:r>
    </w:p>
    <w:p w14:paraId="17ADA1A2">
      <w:pPr>
        <w:pStyle w:val="278"/>
        <w:numPr>
          <w:ilvl w:val="0"/>
          <w:numId w:val="0"/>
        </w:numPr>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.2.10 a implantação ou o aperfeiçoamento de programa de integridade</w:t>
      </w:r>
      <w:r>
        <w:rPr>
          <w:rFonts w:hint="default" w:ascii="Arial" w:hAnsi="Arial" w:cs="Arial"/>
          <w:sz w:val="17"/>
          <w:szCs w:val="17"/>
        </w:rPr>
        <w:t xml:space="preserve">, </w:t>
      </w:r>
      <w:r>
        <w:rPr>
          <w:rFonts w:hint="default" w:ascii="Arial" w:hAnsi="Arial" w:cs="Arial"/>
          <w:b w:val="0"/>
          <w:sz w:val="17"/>
          <w:szCs w:val="17"/>
        </w:rPr>
        <w:t>conforme normas e orientações dos órgãos de controle.</w:t>
      </w:r>
    </w:p>
    <w:p w14:paraId="4FE2DE8C">
      <w:pPr>
        <w:pStyle w:val="304"/>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.3 A sanção prevista no item 1</w:t>
      </w:r>
      <w:r>
        <w:rPr>
          <w:rFonts w:hint="default" w:cs="Arial"/>
          <w:color w:val="auto"/>
          <w:sz w:val="17"/>
          <w:szCs w:val="17"/>
          <w:lang w:val="pt-BR"/>
        </w:rPr>
        <w:t>0</w:t>
      </w:r>
      <w:r>
        <w:rPr>
          <w:rFonts w:hint="default" w:ascii="Arial" w:hAnsi="Arial" w:cs="Arial"/>
          <w:color w:val="auto"/>
          <w:sz w:val="17"/>
          <w:szCs w:val="17"/>
        </w:rPr>
        <w:t>.1 será aplicada exclusivamente pela infração administrativa prevista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 </w:instrText>
      </w:r>
      <w:r>
        <w:rPr>
          <w:rFonts w:hint="default" w:ascii="Arial" w:hAnsi="Arial" w:cs="Arial"/>
          <w:sz w:val="17"/>
          <w:szCs w:val="17"/>
        </w:rPr>
        <w:fldChar w:fldCharType="separate"/>
      </w:r>
      <w:r>
        <w:rPr>
          <w:rStyle w:val="11"/>
          <w:rFonts w:hint="default" w:ascii="Arial" w:hAnsi="Arial" w:cs="Arial"/>
          <w:color w:val="auto"/>
          <w:sz w:val="17"/>
          <w:szCs w:val="17"/>
        </w:rPr>
        <w:t>inciso I do </w:t>
      </w:r>
      <w:r>
        <w:rPr>
          <w:rStyle w:val="11"/>
          <w:rFonts w:hint="default" w:ascii="Arial" w:hAnsi="Arial" w:cs="Arial"/>
          <w:bCs/>
          <w:color w:val="auto"/>
          <w:sz w:val="17"/>
          <w:szCs w:val="17"/>
        </w:rPr>
        <w:t>caput</w:t>
      </w:r>
      <w:r>
        <w:rPr>
          <w:rStyle w:val="11"/>
          <w:rFonts w:hint="default" w:ascii="Arial" w:hAnsi="Arial" w:cs="Arial"/>
          <w:color w:val="auto"/>
          <w:sz w:val="17"/>
          <w:szCs w:val="17"/>
        </w:rPr>
        <w:t> do art. 155 da Lei</w:t>
      </w:r>
      <w:r>
        <w:rPr>
          <w:rStyle w:val="11"/>
          <w:rFonts w:hint="default" w:ascii="Arial" w:hAnsi="Arial" w:cs="Arial"/>
          <w:color w:val="auto"/>
          <w:sz w:val="17"/>
          <w:szCs w:val="17"/>
        </w:rPr>
        <w:fldChar w:fldCharType="end"/>
      </w:r>
      <w:r>
        <w:rPr>
          <w:rFonts w:hint="default" w:ascii="Arial" w:hAnsi="Arial" w:cs="Arial"/>
          <w:color w:val="auto"/>
          <w:sz w:val="17"/>
          <w:szCs w:val="17"/>
        </w:rPr>
        <w:t xml:space="preserve"> 14.133/21, quando não se justificar a imposição de penalidade mais grave.</w:t>
      </w:r>
    </w:p>
    <w:p w14:paraId="53BC4E5B">
      <w:pPr>
        <w:pStyle w:val="304"/>
        <w:spacing w:before="0" w:after="0" w:line="240" w:lineRule="auto"/>
        <w:ind w:left="0"/>
        <w:rPr>
          <w:rFonts w:hint="default" w:ascii="Arial" w:hAnsi="Arial" w:cs="Arial"/>
          <w:sz w:val="17"/>
          <w:szCs w:val="17"/>
        </w:rPr>
      </w:pPr>
      <w:r>
        <w:rPr>
          <w:rFonts w:hint="default" w:ascii="Arial" w:hAnsi="Arial" w:cs="Arial"/>
          <w:color w:val="1D2228"/>
          <w:sz w:val="17"/>
          <w:szCs w:val="17"/>
          <w:shd w:val="clear" w:color="auto" w:fill="FFFFFF"/>
        </w:rPr>
        <w:t>1</w:t>
      </w:r>
      <w:r>
        <w:rPr>
          <w:rFonts w:hint="default" w:cs="Arial"/>
          <w:color w:val="1D2228"/>
          <w:sz w:val="17"/>
          <w:szCs w:val="17"/>
          <w:shd w:val="clear" w:color="auto" w:fill="FFFFFF"/>
          <w:lang w:val="pt-BR"/>
        </w:rPr>
        <w:t>0</w:t>
      </w:r>
      <w:r>
        <w:rPr>
          <w:rFonts w:hint="default" w:ascii="Arial" w:hAnsi="Arial" w:cs="Arial"/>
          <w:color w:val="1D2228"/>
          <w:sz w:val="17"/>
          <w:szCs w:val="17"/>
          <w:shd w:val="clear" w:color="auto" w:fill="FFFFFF"/>
        </w:rPr>
        <w:t xml:space="preserve">.3.1 </w:t>
      </w:r>
      <w:r>
        <w:rPr>
          <w:rFonts w:hint="default" w:ascii="Arial" w:hAnsi="Arial" w:cs="Arial"/>
          <w:sz w:val="17"/>
          <w:szCs w:val="17"/>
        </w:rPr>
        <w:t xml:space="preserve">dar causa à inexecução parcial do contrato; 10% do valor da parcela inadimplida; </w:t>
      </w:r>
    </w:p>
    <w:p w14:paraId="5AB5BEDD">
      <w:pPr>
        <w:pStyle w:val="304"/>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.3.2 dar causa à inexecução parcial do contrato que cause grave dano à Administração, ao funcionamento dos serviços públicos ou ao interesse coletivo; 15% do valor do contrato;</w:t>
      </w:r>
    </w:p>
    <w:p w14:paraId="3FD200FA">
      <w:pPr>
        <w:pStyle w:val="304"/>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.3.3 dar causa à inexecução total do contrato; 20% do valor do contrato;</w:t>
      </w:r>
    </w:p>
    <w:p w14:paraId="7D078265">
      <w:pPr>
        <w:pStyle w:val="304"/>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.3.4 deixar de entregar a documentação exigida para o certame; 5% do valor do contrato;</w:t>
      </w:r>
    </w:p>
    <w:p w14:paraId="424BF183">
      <w:pPr>
        <w:pStyle w:val="304"/>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.3.5 não manter a proposta, salvo em decorrência de fato superveniente devidamente justificado; 10% do valor do contrato;</w:t>
      </w:r>
    </w:p>
    <w:p w14:paraId="29F6B92F">
      <w:pPr>
        <w:pStyle w:val="304"/>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.3.6 não celebrar o contrato ou não entregar a documentação exigida para a contratação, quando convocado dentro do prazo de validade de sua proposta; 5% do valor do contrato;</w:t>
      </w:r>
    </w:p>
    <w:p w14:paraId="2EEB9783">
      <w:pPr>
        <w:pStyle w:val="304"/>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.3.7 ensejar o retardamento da execução ou da entrega do objeto da licitação sem motivo justificado; 10% do valor do contrato;</w:t>
      </w:r>
    </w:p>
    <w:p w14:paraId="514441B8">
      <w:pPr>
        <w:pStyle w:val="304"/>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.3.8 apresentar declaração ou documentação falsa exigida para o certame ou prestar declaração falsa durante a licitação ou a execução do contrato; 30% do valor do contrato;</w:t>
      </w:r>
    </w:p>
    <w:p w14:paraId="2754C220">
      <w:pPr>
        <w:pStyle w:val="304"/>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.3.9 fraudar a licitação ou praticar ato fraudulento na execução do contrato; 30% do valor do contrato;</w:t>
      </w:r>
    </w:p>
    <w:p w14:paraId="1F821430">
      <w:pPr>
        <w:pStyle w:val="304"/>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.3.10 comportar-se de modo inidôneo ou cometer fraude de qualquer natureza; </w:t>
      </w:r>
      <w:r>
        <w:rPr>
          <w:rFonts w:hint="default" w:ascii="Arial" w:hAnsi="Arial" w:cs="Arial"/>
          <w:b/>
          <w:sz w:val="17"/>
          <w:szCs w:val="17"/>
        </w:rPr>
        <w:t>30% do valor    do contrato;</w:t>
      </w:r>
    </w:p>
    <w:p w14:paraId="7AC00341">
      <w:pPr>
        <w:pStyle w:val="304"/>
        <w:spacing w:before="0" w:after="0" w:line="240" w:lineRule="auto"/>
        <w:ind w:left="0"/>
        <w:rPr>
          <w:rFonts w:hint="default" w:ascii="Arial" w:hAnsi="Arial" w:cs="Arial"/>
          <w:b/>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 xml:space="preserve">.3.11 praticar atos ilícitos com vistas a frustrar os objetivos da licitação; </w:t>
      </w:r>
      <w:r>
        <w:rPr>
          <w:rFonts w:hint="default" w:ascii="Arial" w:hAnsi="Arial" w:cs="Arial"/>
          <w:b/>
          <w:sz w:val="17"/>
          <w:szCs w:val="17"/>
        </w:rPr>
        <w:t>30% do valor do contrato;</w:t>
      </w:r>
    </w:p>
    <w:p w14:paraId="2EED191B">
      <w:pPr>
        <w:pStyle w:val="304"/>
        <w:spacing w:before="0" w:after="0" w:line="240" w:lineRule="auto"/>
        <w:ind w:left="0"/>
        <w:rPr>
          <w:rFonts w:hint="default" w:ascii="Arial" w:hAnsi="Arial" w:cs="Arial"/>
          <w:sz w:val="17"/>
          <w:szCs w:val="17"/>
        </w:rPr>
      </w:pPr>
      <w:r>
        <w:rPr>
          <w:rFonts w:hint="default" w:ascii="Arial" w:hAnsi="Arial" w:cs="Arial"/>
          <w:sz w:val="17"/>
          <w:szCs w:val="17"/>
        </w:rPr>
        <w:t>1</w:t>
      </w:r>
      <w:r>
        <w:rPr>
          <w:rFonts w:hint="default" w:cs="Arial"/>
          <w:sz w:val="17"/>
          <w:szCs w:val="17"/>
          <w:lang w:val="pt-BR"/>
        </w:rPr>
        <w:t>0</w:t>
      </w:r>
      <w:r>
        <w:rPr>
          <w:rFonts w:hint="default" w:ascii="Arial" w:hAnsi="Arial" w:cs="Arial"/>
          <w:sz w:val="17"/>
          <w:szCs w:val="17"/>
        </w:rPr>
        <w:t>.3.12 praticar ato lesivo previsto no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\l "art5" </w:instrText>
      </w:r>
      <w:r>
        <w:rPr>
          <w:rFonts w:hint="default" w:ascii="Arial" w:hAnsi="Arial" w:cs="Arial"/>
          <w:sz w:val="17"/>
          <w:szCs w:val="17"/>
        </w:rPr>
        <w:fldChar w:fldCharType="separate"/>
      </w:r>
      <w:r>
        <w:rPr>
          <w:rStyle w:val="11"/>
          <w:rFonts w:hint="default" w:ascii="Arial" w:hAnsi="Arial" w:cs="Arial"/>
          <w:color w:val="auto"/>
          <w:sz w:val="17"/>
          <w:szCs w:val="17"/>
        </w:rPr>
        <w:t>art. 5º da Lei nº 12.846, de 1º de agosto de 2013.</w:t>
      </w:r>
      <w:r>
        <w:rPr>
          <w:rStyle w:val="11"/>
          <w:rFonts w:hint="default" w:ascii="Arial" w:hAnsi="Arial" w:cs="Arial"/>
          <w:color w:val="auto"/>
          <w:sz w:val="17"/>
          <w:szCs w:val="17"/>
        </w:rPr>
        <w:fldChar w:fldCharType="end"/>
      </w:r>
      <w:r>
        <w:rPr>
          <w:rFonts w:hint="default" w:ascii="Arial" w:hAnsi="Arial" w:cs="Arial"/>
          <w:sz w:val="17"/>
          <w:szCs w:val="17"/>
        </w:rPr>
        <w:t xml:space="preserve"> 30% do valor do contrato;</w:t>
      </w:r>
    </w:p>
    <w:p w14:paraId="5973CB95">
      <w:pPr>
        <w:pStyle w:val="304"/>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 A sanção prevista no item 1</w:t>
      </w:r>
      <w:r>
        <w:rPr>
          <w:rFonts w:hint="default" w:cs="Arial"/>
          <w:color w:val="auto"/>
          <w:sz w:val="17"/>
          <w:szCs w:val="17"/>
          <w:lang w:val="pt-BR"/>
        </w:rPr>
        <w:t>0</w:t>
      </w:r>
      <w:r>
        <w:rPr>
          <w:rFonts w:hint="default" w:ascii="Arial" w:hAnsi="Arial" w:cs="Arial"/>
          <w:color w:val="auto"/>
          <w:sz w:val="17"/>
          <w:szCs w:val="17"/>
        </w:rPr>
        <w:t>.3.2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"art155ii" </w:instrText>
      </w:r>
      <w:r>
        <w:rPr>
          <w:rFonts w:hint="default" w:ascii="Arial" w:hAnsi="Arial" w:cs="Arial"/>
          <w:sz w:val="17"/>
          <w:szCs w:val="17"/>
        </w:rPr>
        <w:fldChar w:fldCharType="separate"/>
      </w:r>
      <w:r>
        <w:rPr>
          <w:rStyle w:val="11"/>
          <w:rFonts w:hint="default" w:ascii="Arial" w:hAnsi="Arial" w:cs="Arial"/>
          <w:color w:val="auto"/>
          <w:sz w:val="17"/>
          <w:szCs w:val="17"/>
        </w:rPr>
        <w:t>incisos 1</w:t>
      </w:r>
      <w:r>
        <w:rPr>
          <w:rStyle w:val="11"/>
          <w:rFonts w:hint="default" w:cs="Arial"/>
          <w:color w:val="auto"/>
          <w:sz w:val="17"/>
          <w:szCs w:val="17"/>
          <w:lang w:val="pt-BR"/>
        </w:rPr>
        <w:t>0</w:t>
      </w:r>
      <w:r>
        <w:rPr>
          <w:rStyle w:val="11"/>
          <w:rFonts w:hint="default" w:ascii="Arial" w:hAnsi="Arial" w:cs="Arial"/>
          <w:color w:val="auto"/>
          <w:sz w:val="17"/>
          <w:szCs w:val="17"/>
        </w:rPr>
        <w:t>.3.1, 1</w:t>
      </w:r>
      <w:r>
        <w:rPr>
          <w:rStyle w:val="11"/>
          <w:rFonts w:hint="default" w:cs="Arial"/>
          <w:color w:val="auto"/>
          <w:sz w:val="17"/>
          <w:szCs w:val="17"/>
          <w:lang w:val="pt-BR"/>
        </w:rPr>
        <w:t>0</w:t>
      </w:r>
      <w:r>
        <w:rPr>
          <w:rStyle w:val="11"/>
          <w:rFonts w:hint="default" w:ascii="Arial" w:hAnsi="Arial" w:cs="Arial"/>
          <w:color w:val="auto"/>
          <w:sz w:val="17"/>
          <w:szCs w:val="17"/>
        </w:rPr>
        <w:t>.3.2, 1</w:t>
      </w:r>
      <w:r>
        <w:rPr>
          <w:rStyle w:val="11"/>
          <w:rFonts w:hint="default" w:cs="Arial"/>
          <w:color w:val="auto"/>
          <w:sz w:val="17"/>
          <w:szCs w:val="17"/>
          <w:lang w:val="pt-BR"/>
        </w:rPr>
        <w:t>0</w:t>
      </w:r>
      <w:r>
        <w:rPr>
          <w:rStyle w:val="11"/>
          <w:rFonts w:hint="default" w:ascii="Arial" w:hAnsi="Arial" w:cs="Arial"/>
          <w:color w:val="auto"/>
          <w:sz w:val="17"/>
          <w:szCs w:val="17"/>
        </w:rPr>
        <w:t>.3.3, 1</w:t>
      </w:r>
      <w:r>
        <w:rPr>
          <w:rStyle w:val="11"/>
          <w:rFonts w:hint="default" w:cs="Arial"/>
          <w:color w:val="auto"/>
          <w:sz w:val="17"/>
          <w:szCs w:val="17"/>
          <w:lang w:val="pt-BR"/>
        </w:rPr>
        <w:t>0</w:t>
      </w:r>
      <w:r>
        <w:rPr>
          <w:rStyle w:val="11"/>
          <w:rFonts w:hint="default" w:ascii="Arial" w:hAnsi="Arial" w:cs="Arial"/>
          <w:color w:val="auto"/>
          <w:sz w:val="17"/>
          <w:szCs w:val="17"/>
        </w:rPr>
        <w:t>.3.4, 1</w:t>
      </w:r>
      <w:r>
        <w:rPr>
          <w:rStyle w:val="11"/>
          <w:rFonts w:hint="default" w:cs="Arial"/>
          <w:color w:val="auto"/>
          <w:sz w:val="17"/>
          <w:szCs w:val="17"/>
          <w:lang w:val="pt-BR"/>
        </w:rPr>
        <w:t>0</w:t>
      </w:r>
      <w:r>
        <w:rPr>
          <w:rStyle w:val="11"/>
          <w:rFonts w:hint="default" w:ascii="Arial" w:hAnsi="Arial" w:cs="Arial"/>
          <w:color w:val="auto"/>
          <w:sz w:val="17"/>
          <w:szCs w:val="17"/>
        </w:rPr>
        <w:t>.3.5 e 1</w:t>
      </w:r>
      <w:r>
        <w:rPr>
          <w:rStyle w:val="11"/>
          <w:rFonts w:hint="default" w:cs="Arial"/>
          <w:color w:val="auto"/>
          <w:sz w:val="17"/>
          <w:szCs w:val="17"/>
          <w:lang w:val="pt-BR"/>
        </w:rPr>
        <w:t>0</w:t>
      </w:r>
      <w:r>
        <w:rPr>
          <w:rStyle w:val="11"/>
          <w:rFonts w:hint="default" w:ascii="Arial" w:hAnsi="Arial" w:cs="Arial"/>
          <w:color w:val="auto"/>
          <w:sz w:val="17"/>
          <w:szCs w:val="17"/>
        </w:rPr>
        <w:t>.3.6,</w:t>
      </w:r>
      <w:r>
        <w:rPr>
          <w:rStyle w:val="11"/>
          <w:rFonts w:hint="default" w:ascii="Arial" w:hAnsi="Arial" w:cs="Arial"/>
          <w:color w:val="auto"/>
          <w:sz w:val="17"/>
          <w:szCs w:val="17"/>
        </w:rPr>
        <w:fldChar w:fldCharType="end"/>
      </w:r>
      <w:r>
        <w:rPr>
          <w:rFonts w:hint="default" w:ascii="Arial" w:hAnsi="Arial" w:cs="Arial"/>
          <w:color w:val="auto"/>
          <w:sz w:val="17"/>
          <w:szCs w:val="17"/>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7DB2643">
      <w:pPr>
        <w:pStyle w:val="304"/>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.4.1 A sanção prevista no item 1</w:t>
      </w:r>
      <w:r>
        <w:rPr>
          <w:rFonts w:hint="default" w:cs="Arial"/>
          <w:color w:val="auto"/>
          <w:sz w:val="17"/>
          <w:szCs w:val="17"/>
          <w:lang w:val="pt-BR"/>
        </w:rPr>
        <w:t>0</w:t>
      </w:r>
      <w:r>
        <w:rPr>
          <w:rFonts w:hint="default" w:ascii="Arial" w:hAnsi="Arial" w:cs="Arial"/>
          <w:color w:val="auto"/>
          <w:sz w:val="17"/>
          <w:szCs w:val="17"/>
        </w:rPr>
        <w:t>.3.4 será aplicada ao responsável pelas infrações administrativas previstas nos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"https://www.planalto.gov.br/ccivil_03/_ato2019-2022/2021/lei/l14133.htm" \l "art155viii" </w:instrText>
      </w:r>
      <w:r>
        <w:rPr>
          <w:rFonts w:hint="default" w:ascii="Arial" w:hAnsi="Arial" w:cs="Arial"/>
          <w:sz w:val="17"/>
          <w:szCs w:val="17"/>
        </w:rPr>
        <w:fldChar w:fldCharType="separate"/>
      </w:r>
      <w:r>
        <w:rPr>
          <w:rStyle w:val="11"/>
          <w:rFonts w:hint="default" w:ascii="Arial" w:hAnsi="Arial" w:cs="Arial"/>
          <w:color w:val="auto"/>
          <w:sz w:val="17"/>
          <w:szCs w:val="17"/>
        </w:rPr>
        <w:t>incisos 1</w:t>
      </w:r>
      <w:r>
        <w:rPr>
          <w:rStyle w:val="11"/>
          <w:rFonts w:hint="default" w:cs="Arial"/>
          <w:color w:val="auto"/>
          <w:sz w:val="17"/>
          <w:szCs w:val="17"/>
          <w:lang w:val="pt-BR"/>
        </w:rPr>
        <w:t>0</w:t>
      </w:r>
      <w:r>
        <w:rPr>
          <w:rStyle w:val="11"/>
          <w:rFonts w:hint="default" w:ascii="Arial" w:hAnsi="Arial" w:cs="Arial"/>
          <w:color w:val="auto"/>
          <w:sz w:val="17"/>
          <w:szCs w:val="17"/>
        </w:rPr>
        <w:t>.3.8, 1</w:t>
      </w:r>
      <w:r>
        <w:rPr>
          <w:rStyle w:val="11"/>
          <w:rFonts w:hint="default" w:cs="Arial"/>
          <w:color w:val="auto"/>
          <w:sz w:val="17"/>
          <w:szCs w:val="17"/>
          <w:lang w:val="pt-BR"/>
        </w:rPr>
        <w:t>0</w:t>
      </w:r>
      <w:r>
        <w:rPr>
          <w:rStyle w:val="11"/>
          <w:rFonts w:hint="default" w:ascii="Arial" w:hAnsi="Arial" w:cs="Arial"/>
          <w:color w:val="auto"/>
          <w:sz w:val="17"/>
          <w:szCs w:val="17"/>
        </w:rPr>
        <w:t>.3.9, 1</w:t>
      </w:r>
      <w:r>
        <w:rPr>
          <w:rStyle w:val="11"/>
          <w:rFonts w:hint="default" w:cs="Arial"/>
          <w:color w:val="auto"/>
          <w:sz w:val="17"/>
          <w:szCs w:val="17"/>
          <w:lang w:val="pt-BR"/>
        </w:rPr>
        <w:t>0</w:t>
      </w:r>
      <w:r>
        <w:rPr>
          <w:rStyle w:val="11"/>
          <w:rFonts w:hint="default" w:ascii="Arial" w:hAnsi="Arial" w:cs="Arial"/>
          <w:color w:val="auto"/>
          <w:sz w:val="17"/>
          <w:szCs w:val="17"/>
        </w:rPr>
        <w:t>.3.10, 1</w:t>
      </w:r>
      <w:r>
        <w:rPr>
          <w:rStyle w:val="11"/>
          <w:rFonts w:hint="default" w:cs="Arial"/>
          <w:color w:val="auto"/>
          <w:sz w:val="17"/>
          <w:szCs w:val="17"/>
          <w:lang w:val="pt-BR"/>
        </w:rPr>
        <w:t>0</w:t>
      </w:r>
      <w:r>
        <w:rPr>
          <w:rStyle w:val="11"/>
          <w:rFonts w:hint="default" w:ascii="Arial" w:hAnsi="Arial" w:cs="Arial"/>
          <w:color w:val="auto"/>
          <w:sz w:val="17"/>
          <w:szCs w:val="17"/>
        </w:rPr>
        <w:t>.3.11 e 1</w:t>
      </w:r>
      <w:r>
        <w:rPr>
          <w:rStyle w:val="11"/>
          <w:rFonts w:hint="default" w:cs="Arial"/>
          <w:color w:val="auto"/>
          <w:sz w:val="17"/>
          <w:szCs w:val="17"/>
          <w:lang w:val="pt-BR"/>
        </w:rPr>
        <w:t>0</w:t>
      </w:r>
      <w:r>
        <w:rPr>
          <w:rStyle w:val="11"/>
          <w:rFonts w:hint="default" w:ascii="Arial" w:hAnsi="Arial" w:cs="Arial"/>
          <w:color w:val="auto"/>
          <w:sz w:val="17"/>
          <w:szCs w:val="17"/>
        </w:rPr>
        <w:t>.3.12 do </w:t>
      </w:r>
      <w:r>
        <w:rPr>
          <w:rStyle w:val="11"/>
          <w:rFonts w:hint="default" w:ascii="Arial" w:hAnsi="Arial" w:cs="Arial"/>
          <w:bCs/>
          <w:color w:val="auto"/>
          <w:sz w:val="17"/>
          <w:szCs w:val="17"/>
        </w:rPr>
        <w:t>caput</w:t>
      </w:r>
      <w:r>
        <w:rPr>
          <w:rStyle w:val="11"/>
          <w:rFonts w:hint="default" w:ascii="Arial" w:hAnsi="Arial" w:cs="Arial"/>
          <w:color w:val="auto"/>
          <w:sz w:val="17"/>
          <w:szCs w:val="17"/>
        </w:rPr>
        <w:t> do art. 155 da lei 14.133/21</w:t>
      </w:r>
      <w:r>
        <w:rPr>
          <w:rStyle w:val="11"/>
          <w:rFonts w:hint="default" w:ascii="Arial" w:hAnsi="Arial" w:cs="Arial"/>
          <w:color w:val="auto"/>
          <w:sz w:val="17"/>
          <w:szCs w:val="17"/>
        </w:rPr>
        <w:fldChar w:fldCharType="end"/>
      </w:r>
      <w:r>
        <w:rPr>
          <w:rFonts w:hint="default" w:ascii="Arial" w:hAnsi="Arial" w:cs="Arial"/>
          <w:color w:val="auto"/>
          <w:sz w:val="17"/>
          <w:szCs w:val="17"/>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12022571">
      <w:pPr>
        <w:pStyle w:val="304"/>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 A sanção estabelecida no item 1</w:t>
      </w:r>
      <w:r>
        <w:rPr>
          <w:rFonts w:hint="default" w:cs="Arial"/>
          <w:color w:val="auto"/>
          <w:sz w:val="17"/>
          <w:szCs w:val="17"/>
          <w:lang w:val="pt-BR"/>
        </w:rPr>
        <w:t>0</w:t>
      </w:r>
      <w:r>
        <w:rPr>
          <w:rFonts w:hint="default" w:ascii="Arial" w:hAnsi="Arial" w:cs="Arial"/>
          <w:color w:val="auto"/>
          <w:sz w:val="17"/>
          <w:szCs w:val="17"/>
        </w:rPr>
        <w:t>.3.4 será precedida de análise jurídica e observará as seguintes regras:</w:t>
      </w:r>
    </w:p>
    <w:p w14:paraId="27228788">
      <w:pPr>
        <w:pStyle w:val="304"/>
        <w:spacing w:before="0" w:after="0" w:line="240" w:lineRule="auto"/>
        <w:ind w:left="0"/>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 xml:space="preserve">.4.2.1 quando aplicada por órgão do Poder Executivo, será de competência da autoridade competente. </w:t>
      </w:r>
    </w:p>
    <w:p w14:paraId="0F061FF5">
      <w:pPr>
        <w:pStyle w:val="304"/>
        <w:spacing w:before="0" w:after="0" w:line="240" w:lineRule="auto"/>
        <w:ind w:left="0"/>
        <w:rPr>
          <w:rFonts w:hint="default" w:ascii="Arial" w:hAnsi="Arial" w:cs="Arial"/>
          <w:b w:val="0"/>
          <w:sz w:val="17"/>
          <w:szCs w:val="17"/>
        </w:rPr>
      </w:pPr>
      <w:r>
        <w:rPr>
          <w:rFonts w:hint="default" w:ascii="Arial" w:hAnsi="Arial" w:cs="Arial"/>
          <w:b w:val="0"/>
          <w:sz w:val="17"/>
          <w:szCs w:val="17"/>
        </w:rPr>
        <w:t>1</w:t>
      </w:r>
      <w:r>
        <w:rPr>
          <w:rFonts w:hint="default" w:cs="Arial"/>
          <w:b w:val="0"/>
          <w:sz w:val="17"/>
          <w:szCs w:val="17"/>
          <w:lang w:val="pt-BR"/>
        </w:rPr>
        <w:t>0</w:t>
      </w:r>
      <w:r>
        <w:rPr>
          <w:rFonts w:hint="default" w:ascii="Arial" w:hAnsi="Arial" w:cs="Arial"/>
          <w:b w:val="0"/>
          <w:sz w:val="17"/>
          <w:szCs w:val="17"/>
        </w:rPr>
        <w:t>.4.2.2 As sanções previstas nos incisos I, III e IV do caput deste artigo poderão ser aplicadas cumulativamente com a prevista no inciso II do caput deste artigo.</w:t>
      </w:r>
    </w:p>
    <w:p w14:paraId="79C4A60E">
      <w:pPr>
        <w:pStyle w:val="278"/>
        <w:numPr>
          <w:ilvl w:val="0"/>
          <w:numId w:val="0"/>
        </w:numPr>
        <w:tabs>
          <w:tab w:val="left" w:pos="0"/>
          <w:tab w:val="clear" w:pos="567"/>
        </w:tabs>
        <w:spacing w:before="0" w:line="240" w:lineRule="auto"/>
        <w:rPr>
          <w:rFonts w:hint="default" w:ascii="Arial" w:hAnsi="Arial" w:cs="Arial"/>
          <w:b w:val="0"/>
          <w:sz w:val="17"/>
          <w:szCs w:val="17"/>
        </w:rPr>
      </w:pPr>
      <w:r>
        <w:rPr>
          <w:rFonts w:hint="default" w:ascii="Arial" w:hAnsi="Arial" w:cs="Arial"/>
          <w:b w:val="0"/>
          <w:sz w:val="17"/>
          <w:szCs w:val="17"/>
        </w:rPr>
        <w:t>1</w:t>
      </w:r>
      <w:r>
        <w:rPr>
          <w:rFonts w:hint="default" w:ascii="Arial" w:hAnsi="Arial" w:cs="Arial"/>
          <w:b w:val="0"/>
          <w:sz w:val="17"/>
          <w:szCs w:val="17"/>
          <w:lang w:val="pt-BR"/>
        </w:rPr>
        <w:t>0</w:t>
      </w:r>
      <w:r>
        <w:rPr>
          <w:rFonts w:hint="default" w:ascii="Arial" w:hAnsi="Arial" w:cs="Arial"/>
          <w:b w:val="0"/>
          <w:sz w:val="17"/>
          <w:szCs w:val="17"/>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5D432BCF">
      <w:pPr>
        <w:pStyle w:val="303"/>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.4.2.4 A aplicação das sanções previstas neste edital não exclui, em hipótese alguma, a obrigação de reparação integral dos danos causados ao Município.</w:t>
      </w:r>
    </w:p>
    <w:p w14:paraId="1FE44ACA">
      <w:pPr>
        <w:pStyle w:val="303"/>
        <w:spacing w:before="0" w:after="0" w:line="240" w:lineRule="auto"/>
        <w:rPr>
          <w:rFonts w:hint="default" w:ascii="Arial" w:hAnsi="Arial" w:cs="Arial"/>
          <w:color w:val="auto"/>
          <w:sz w:val="17"/>
          <w:szCs w:val="17"/>
        </w:rPr>
      </w:pPr>
      <w:r>
        <w:rPr>
          <w:rFonts w:hint="default" w:ascii="Arial" w:hAnsi="Arial" w:cs="Arial"/>
          <w:color w:val="auto"/>
          <w:sz w:val="17"/>
          <w:szCs w:val="17"/>
        </w:rPr>
        <w:t>1</w:t>
      </w:r>
      <w:r>
        <w:rPr>
          <w:rFonts w:hint="default" w:cs="Arial"/>
          <w:color w:val="auto"/>
          <w:sz w:val="17"/>
          <w:szCs w:val="17"/>
          <w:lang w:val="pt-BR"/>
        </w:rPr>
        <w:t>0</w:t>
      </w:r>
      <w:r>
        <w:rPr>
          <w:rFonts w:hint="default" w:ascii="Arial" w:hAnsi="Arial" w:cs="Arial"/>
          <w:color w:val="auto"/>
          <w:sz w:val="17"/>
          <w:szCs w:val="17"/>
        </w:rPr>
        <w:t>.5 As infrações e sanções deverão ser apuradas por uma comissão processante nomeada para as atribuições.</w:t>
      </w:r>
    </w:p>
    <w:p w14:paraId="47966773">
      <w:pPr>
        <w:spacing w:line="240" w:lineRule="auto"/>
        <w:jc w:val="both"/>
        <w:rPr>
          <w:rStyle w:val="11"/>
          <w:rFonts w:hint="default" w:ascii="Arial" w:hAnsi="Arial" w:cs="Arial"/>
          <w:sz w:val="17"/>
          <w:szCs w:val="17"/>
          <w:lang w:val="pt-BR"/>
        </w:rPr>
      </w:pPr>
      <w:r>
        <w:rPr>
          <w:rFonts w:hint="default" w:ascii="Arial" w:hAnsi="Arial" w:cs="Arial"/>
          <w:sz w:val="17"/>
          <w:szCs w:val="17"/>
        </w:rPr>
        <w:t>10.</w:t>
      </w:r>
      <w:r>
        <w:rPr>
          <w:rFonts w:hint="default" w:ascii="Arial" w:hAnsi="Arial" w:cs="Arial"/>
          <w:sz w:val="17"/>
          <w:szCs w:val="17"/>
          <w:lang w:val="pt-BR"/>
        </w:rPr>
        <w:t>6</w:t>
      </w:r>
      <w:r>
        <w:rPr>
          <w:rFonts w:hint="default" w:ascii="Arial" w:hAnsi="Arial" w:cs="Arial"/>
          <w:sz w:val="17"/>
          <w:szCs w:val="17"/>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11"/>
          <w:rFonts w:hint="default" w:ascii="Arial" w:hAnsi="Arial" w:cs="Arial"/>
          <w:sz w:val="17"/>
          <w:szCs w:val="17"/>
        </w:rPr>
        <w:t>Instrução Normativa SEGES/ME nº 26, de 13 de abril de 2022</w:t>
      </w:r>
      <w:r>
        <w:rPr>
          <w:rStyle w:val="11"/>
          <w:rFonts w:hint="default" w:ascii="Arial" w:hAnsi="Arial" w:cs="Arial"/>
          <w:sz w:val="17"/>
          <w:szCs w:val="17"/>
        </w:rPr>
        <w:fldChar w:fldCharType="end"/>
      </w:r>
      <w:r>
        <w:rPr>
          <w:rStyle w:val="11"/>
          <w:rFonts w:hint="default" w:ascii="Arial" w:hAnsi="Arial" w:cs="Arial"/>
          <w:sz w:val="17"/>
          <w:szCs w:val="17"/>
          <w:lang w:val="pt-BR"/>
        </w:rPr>
        <w:t>.</w:t>
      </w:r>
    </w:p>
    <w:p w14:paraId="33CB0AC4">
      <w:pPr>
        <w:spacing w:line="240" w:lineRule="auto"/>
        <w:jc w:val="both"/>
        <w:rPr>
          <w:rStyle w:val="11"/>
          <w:rFonts w:hint="default" w:ascii="Arial" w:hAnsi="Arial" w:cs="Arial"/>
          <w:sz w:val="17"/>
          <w:szCs w:val="17"/>
          <w:lang w:val="pt-BR"/>
        </w:rPr>
      </w:pPr>
    </w:p>
    <w:p w14:paraId="50A89246">
      <w:pPr>
        <w:jc w:val="both"/>
        <w:rPr>
          <w:rFonts w:hint="default" w:ascii="Arial" w:hAnsi="Arial" w:cs="Arial"/>
          <w:b/>
          <w:bCs/>
          <w:sz w:val="17"/>
          <w:szCs w:val="17"/>
        </w:rPr>
      </w:pPr>
      <w:r>
        <w:rPr>
          <w:rFonts w:hint="default" w:ascii="Arial" w:hAnsi="Arial" w:cs="Arial"/>
          <w:b/>
          <w:bCs/>
          <w:sz w:val="17"/>
          <w:szCs w:val="17"/>
        </w:rPr>
        <w:t>CLÁUSULA DÉCIMA PRIMEIRA – DA ALTERAÇÃO OU ATUALIZAÇÃO DOS PREÇOS REGISTRADOS</w:t>
      </w:r>
    </w:p>
    <w:p w14:paraId="15A8EF68">
      <w:pPr>
        <w:pStyle w:val="303"/>
        <w:numPr>
          <w:ilvl w:val="0"/>
          <w:numId w:val="0"/>
        </w:numPr>
        <w:tabs>
          <w:tab w:val="left" w:pos="426"/>
          <w:tab w:val="left" w:pos="709"/>
        </w:tabs>
        <w:autoSpaceDE w:val="0"/>
        <w:autoSpaceDN w:val="0"/>
        <w:adjustRightInd w:val="0"/>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 </w:t>
      </w:r>
      <w:r>
        <w:rPr>
          <w:rFonts w:hint="default" w:ascii="Arial" w:hAnsi="Arial" w:cs="Arial"/>
          <w:sz w:val="17"/>
          <w:szCs w:val="17"/>
        </w:rPr>
        <w:t>Os preços registrados poderão ser alterados ou atualizados em decorrência de eventual redução dos preços pra</w:t>
      </w:r>
      <w:r>
        <w:rPr>
          <w:rFonts w:hint="default" w:ascii="Arial" w:hAnsi="Arial" w:eastAsia="Calibri" w:cs="Arial"/>
          <w:sz w:val="17"/>
          <w:szCs w:val="17"/>
        </w:rPr>
        <w:t>ti</w:t>
      </w:r>
      <w:r>
        <w:rPr>
          <w:rFonts w:hint="default" w:ascii="Arial" w:hAnsi="Arial" w:cs="Arial"/>
          <w:sz w:val="17"/>
          <w:szCs w:val="17"/>
        </w:rPr>
        <w:t>cados no mercado ou de fato que eleve o custo dos bens, das obras ou dos serviços registrados, nas seguintes situações:</w:t>
      </w:r>
    </w:p>
    <w:p w14:paraId="10828F0E">
      <w:pPr>
        <w:pStyle w:val="316"/>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11.1.1 </w:t>
      </w:r>
      <w:r>
        <w:rPr>
          <w:rFonts w:hint="default" w:ascii="Arial" w:hAnsi="Arial" w:cs="Arial"/>
          <w:sz w:val="17"/>
          <w:szCs w:val="17"/>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76F17EF">
      <w:pPr>
        <w:pStyle w:val="316"/>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11.1.2 </w:t>
      </w:r>
      <w:r>
        <w:rPr>
          <w:rFonts w:hint="default" w:ascii="Arial" w:hAnsi="Arial" w:cs="Arial"/>
          <w:sz w:val="17"/>
          <w:szCs w:val="17"/>
        </w:rPr>
        <w:t>Em caso de criação, alteração ou ex</w:t>
      </w:r>
      <w:r>
        <w:rPr>
          <w:rFonts w:hint="default" w:ascii="Arial" w:hAnsi="Arial" w:eastAsia="Calibri" w:cs="Arial"/>
          <w:sz w:val="17"/>
          <w:szCs w:val="17"/>
        </w:rPr>
        <w:t>ti</w:t>
      </w:r>
      <w:r>
        <w:rPr>
          <w:rFonts w:hint="default" w:ascii="Arial" w:hAnsi="Arial" w:cs="Arial"/>
          <w:sz w:val="17"/>
          <w:szCs w:val="17"/>
        </w:rPr>
        <w:t xml:space="preserve">nção de quaisquer tributos ou encargos legais ou a superveniência de disposições legais, com comprovada repercussão sobre os preços registrados; </w:t>
      </w:r>
    </w:p>
    <w:p w14:paraId="3FCC1D25">
      <w:pPr>
        <w:pStyle w:val="316"/>
        <w:numPr>
          <w:ilvl w:val="2"/>
          <w:numId w:val="0"/>
        </w:numPr>
        <w:tabs>
          <w:tab w:val="left" w:pos="709"/>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11.1.3 </w:t>
      </w:r>
      <w:r>
        <w:rPr>
          <w:rFonts w:hint="default" w:ascii="Arial" w:hAnsi="Arial" w:cs="Arial"/>
          <w:sz w:val="17"/>
          <w:szCs w:val="17"/>
        </w:rPr>
        <w:t>Na hipótese de previsão no edital ou no aviso de contratação direta de cláusula de reajustamento ou repactuação sobre os preços registrados, nos termos da Lei nº 14.133, de 2021.</w:t>
      </w:r>
    </w:p>
    <w:p w14:paraId="3B027C81">
      <w:pPr>
        <w:pStyle w:val="318"/>
        <w:numPr>
          <w:ilvl w:val="0"/>
          <w:numId w:val="0"/>
        </w:numPr>
        <w:tabs>
          <w:tab w:val="left" w:pos="709"/>
          <w:tab w:val="left" w:pos="851"/>
        </w:tabs>
        <w:spacing w:before="0" w:after="0" w:line="240" w:lineRule="auto"/>
        <w:ind w:leftChars="0"/>
        <w:rPr>
          <w:rFonts w:hint="default" w:ascii="Arial" w:hAnsi="Arial" w:cs="Arial"/>
          <w:sz w:val="17"/>
          <w:szCs w:val="17"/>
        </w:rPr>
      </w:pPr>
      <w:r>
        <w:rPr>
          <w:rFonts w:hint="default" w:ascii="Arial" w:hAnsi="Arial" w:cs="Arial"/>
          <w:sz w:val="17"/>
          <w:szCs w:val="17"/>
          <w:lang w:val="pt-BR"/>
        </w:rPr>
        <w:t xml:space="preserve">11.1.4 </w:t>
      </w:r>
      <w:r>
        <w:rPr>
          <w:rFonts w:hint="default" w:ascii="Arial" w:hAnsi="Arial" w:cs="Arial"/>
          <w:sz w:val="17"/>
          <w:szCs w:val="17"/>
        </w:rPr>
        <w:t xml:space="preserve">No caso do reajustamento, deverá ser respeitada a contagem da anualidade e o índice previstos para a contratação;  </w:t>
      </w:r>
    </w:p>
    <w:p w14:paraId="09F11F00">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11.1.4.1 Í</w:t>
      </w:r>
      <w:r>
        <w:rPr>
          <w:rFonts w:hint="default" w:ascii="Arial" w:hAnsi="Arial" w:cs="Arial"/>
          <w:sz w:val="17"/>
          <w:szCs w:val="17"/>
        </w:rPr>
        <w:t>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12 (doze) meses anteriores.</w:t>
      </w:r>
    </w:p>
    <w:p w14:paraId="479C09A0">
      <w:pPr>
        <w:pStyle w:val="318"/>
        <w:numPr>
          <w:ilvl w:val="0"/>
          <w:numId w:val="0"/>
        </w:numPr>
        <w:tabs>
          <w:tab w:val="left" w:pos="709"/>
          <w:tab w:val="left" w:pos="851"/>
        </w:tabs>
        <w:spacing w:before="0" w:after="0" w:line="240" w:lineRule="auto"/>
        <w:ind w:leftChars="0"/>
        <w:rPr>
          <w:rFonts w:hint="default" w:ascii="Arial" w:hAnsi="Arial" w:cs="Arial"/>
          <w:bCs/>
          <w:sz w:val="17"/>
          <w:szCs w:val="17"/>
        </w:rPr>
      </w:pPr>
      <w:r>
        <w:rPr>
          <w:rFonts w:hint="default" w:ascii="Arial" w:hAnsi="Arial" w:cs="Arial"/>
          <w:sz w:val="17"/>
          <w:szCs w:val="17"/>
          <w:lang w:val="pt-BR"/>
        </w:rPr>
        <w:t xml:space="preserve">11.1.5 </w:t>
      </w:r>
      <w:r>
        <w:rPr>
          <w:rFonts w:hint="default" w:ascii="Arial" w:hAnsi="Arial" w:cs="Arial"/>
          <w:sz w:val="17"/>
          <w:szCs w:val="17"/>
        </w:rPr>
        <w:t>No caso da repactuação, poderá ser a pedido do interessado, conforme critérios definidos para a contratação.</w:t>
      </w:r>
    </w:p>
    <w:p w14:paraId="1EE4E610">
      <w:pPr>
        <w:spacing w:line="240" w:lineRule="auto"/>
        <w:jc w:val="both"/>
        <w:rPr>
          <w:rFonts w:hint="default" w:ascii="Arial" w:hAnsi="Arial" w:cs="Arial"/>
          <w:bCs/>
          <w:sz w:val="17"/>
          <w:szCs w:val="17"/>
        </w:rPr>
      </w:pPr>
    </w:p>
    <w:p w14:paraId="5926FFFC">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SEGUNDA- CONDIÇÕES PARA CONTRATAÇÃO </w:t>
      </w:r>
    </w:p>
    <w:p w14:paraId="0EB54A5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12.1. </w:t>
      </w:r>
      <w:r>
        <w:rPr>
          <w:rFonts w:hint="default" w:ascii="Arial" w:hAnsi="Arial" w:cs="Arial"/>
          <w:bCs/>
          <w:sz w:val="17"/>
          <w:szCs w:val="17"/>
        </w:rPr>
        <w:t>A contratação da(s) licitante(s) vencedora(s) do presente Pregão será representada pela expedição das Autorizações de Fornecimento ou assinatura do contrato, da qual constará, no mínimo, identificação da licitação, especificações resumidas do produto licitado, quantitativo, desconto/valor, fornecedor, local e prazo para entrega dos produtos;</w:t>
      </w:r>
    </w:p>
    <w:p w14:paraId="0D99BA22">
      <w:pPr>
        <w:spacing w:line="240" w:lineRule="auto"/>
        <w:jc w:val="both"/>
        <w:rPr>
          <w:rFonts w:hint="default" w:ascii="Arial" w:hAnsi="Arial" w:cs="Arial"/>
          <w:bCs/>
          <w:sz w:val="17"/>
          <w:szCs w:val="17"/>
        </w:rPr>
      </w:pPr>
      <w:r>
        <w:rPr>
          <w:rFonts w:hint="default" w:ascii="Arial" w:hAnsi="Arial" w:cs="Arial"/>
          <w:b w:val="0"/>
          <w:bCs w:val="0"/>
          <w:sz w:val="17"/>
          <w:szCs w:val="17"/>
        </w:rPr>
        <w:t xml:space="preserve">12.2. </w:t>
      </w:r>
      <w:r>
        <w:rPr>
          <w:rFonts w:hint="default" w:ascii="Arial" w:hAnsi="Arial" w:cs="Arial"/>
          <w:bCs/>
          <w:sz w:val="17"/>
          <w:szCs w:val="17"/>
        </w:rPr>
        <w:t>Ao assinar a Ata de Registro de Preços, a empresa obriga-se a prestar os serviços registrados, conforme especificações e condições contidas no edital, em seus anexos e também na proposta apresentada.</w:t>
      </w:r>
    </w:p>
    <w:p w14:paraId="135A8757">
      <w:pPr>
        <w:spacing w:line="240" w:lineRule="auto"/>
        <w:jc w:val="both"/>
        <w:rPr>
          <w:rFonts w:hint="default" w:ascii="Arial" w:hAnsi="Arial" w:cs="Arial"/>
          <w:b/>
          <w:bCs/>
          <w:sz w:val="17"/>
          <w:szCs w:val="17"/>
        </w:rPr>
      </w:pPr>
    </w:p>
    <w:p w14:paraId="47F58EE8">
      <w:pPr>
        <w:pStyle w:val="220"/>
        <w:numPr>
          <w:ilvl w:val="0"/>
          <w:numId w:val="0"/>
        </w:numPr>
        <w:tabs>
          <w:tab w:val="left" w:pos="992"/>
        </w:tabs>
        <w:spacing w:before="3" w:line="240"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w:t>
      </w:r>
      <w:r>
        <w:rPr>
          <w:rFonts w:hint="default" w:ascii="Arial" w:hAnsi="Arial" w:cs="Arial"/>
          <w:b/>
          <w:bCs/>
          <w:color w:val="auto"/>
          <w:sz w:val="17"/>
          <w:szCs w:val="17"/>
          <w:lang w:val="pt-BR"/>
        </w:rPr>
        <w:t xml:space="preserve"> TERCEIRA</w:t>
      </w:r>
      <w:r>
        <w:rPr>
          <w:rFonts w:hint="default" w:ascii="Arial" w:hAnsi="Arial" w:cs="Arial"/>
          <w:b/>
          <w:bCs/>
          <w:color w:val="auto"/>
          <w:sz w:val="17"/>
          <w:szCs w:val="17"/>
        </w:rPr>
        <w:t>- OBRIGAÇÕES PERTINENTES À LGPD</w:t>
      </w:r>
    </w:p>
    <w:p w14:paraId="02E23198">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 </w:t>
      </w: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Lei nº 13.709, de 14 de agosto de 2018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13.2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art. 6º da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EBE7A09">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13.3 </w:t>
      </w:r>
      <w:r>
        <w:rPr>
          <w:rFonts w:hint="default" w:ascii="Arial" w:hAnsi="Arial" w:cs="Arial"/>
          <w:b w:val="0"/>
          <w:bCs w:val="0"/>
          <w:sz w:val="17"/>
          <w:szCs w:val="17"/>
        </w:rPr>
        <w:t>É vedado o compartilhamento com terceiros dos dados obtidos fora das hipóteses permitidas em Lei.</w:t>
      </w:r>
    </w:p>
    <w:p w14:paraId="2BF50183">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14BAD89D">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art. 15 da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11"/>
          <w:rFonts w:hint="default" w:ascii="Arial" w:hAnsi="Arial" w:cs="Arial"/>
          <w:b w:val="0"/>
          <w:bCs w:val="0"/>
          <w:sz w:val="17"/>
          <w:szCs w:val="17"/>
        </w:rPr>
        <w:t>art. 16 da LGPD</w:t>
      </w:r>
      <w:r>
        <w:rPr>
          <w:rStyle w:val="11"/>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r>
        <w:rPr>
          <w:rFonts w:hint="default" w:ascii="Arial" w:hAnsi="Arial" w:cs="Arial"/>
          <w:b w:val="0"/>
          <w:bCs w:val="0"/>
          <w:sz w:val="17"/>
          <w:szCs w:val="17"/>
          <w:lang w:val="pt-BR"/>
        </w:rPr>
        <w:t xml:space="preserve">13.6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77AF816E">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1D20FE75">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B43B0F5">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3F513EC1">
      <w:pPr>
        <w:pStyle w:val="220"/>
        <w:numPr>
          <w:ilvl w:val="0"/>
          <w:numId w:val="0"/>
        </w:numPr>
        <w:tabs>
          <w:tab w:val="left" w:pos="992"/>
        </w:tabs>
        <w:spacing w:before="3" w:line="240"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13.10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73ADFEAF">
      <w:pPr>
        <w:pStyle w:val="220"/>
        <w:numPr>
          <w:ilvl w:val="0"/>
          <w:numId w:val="0"/>
        </w:numPr>
        <w:tabs>
          <w:tab w:val="left" w:pos="992"/>
        </w:tabs>
        <w:spacing w:before="3" w:line="240" w:lineRule="auto"/>
        <w:ind w:leftChars="0"/>
        <w:jc w:val="both"/>
        <w:rPr>
          <w:rFonts w:hint="default" w:ascii="Arial" w:hAnsi="Arial" w:cs="Arial"/>
          <w:b/>
          <w:bCs/>
          <w:sz w:val="17"/>
          <w:szCs w:val="17"/>
        </w:rPr>
      </w:pPr>
      <w:r>
        <w:rPr>
          <w:rFonts w:hint="default" w:ascii="Arial" w:hAnsi="Arial" w:cs="Arial"/>
          <w:b w:val="0"/>
          <w:bCs w:val="0"/>
          <w:sz w:val="17"/>
          <w:szCs w:val="17"/>
          <w:lang w:val="pt-BR"/>
        </w:rPr>
        <w:t xml:space="preserve">13.11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1C2E3F03">
      <w:pPr>
        <w:spacing w:line="240" w:lineRule="auto"/>
        <w:jc w:val="both"/>
        <w:rPr>
          <w:rFonts w:hint="default" w:ascii="Arial" w:hAnsi="Arial" w:cs="Arial"/>
          <w:b/>
          <w:bCs/>
          <w:sz w:val="17"/>
          <w:szCs w:val="17"/>
        </w:rPr>
      </w:pPr>
    </w:p>
    <w:p w14:paraId="0264A3CD">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QUARTA</w:t>
      </w:r>
      <w:r>
        <w:rPr>
          <w:rFonts w:hint="default" w:ascii="Arial" w:hAnsi="Arial" w:cs="Arial"/>
          <w:b/>
          <w:bCs/>
          <w:sz w:val="17"/>
          <w:szCs w:val="17"/>
        </w:rPr>
        <w:t xml:space="preserve"> - DA AUTORIZAÇÃO PARA AQUISIÇÃO E EMISSÃO DAS AUTORIZAÇÕES DE COMPRA</w:t>
      </w:r>
    </w:p>
    <w:p w14:paraId="4A02B57D">
      <w:pPr>
        <w:spacing w:line="240" w:lineRule="auto"/>
        <w:jc w:val="both"/>
        <w:rPr>
          <w:rFonts w:hint="default" w:ascii="Arial" w:hAnsi="Arial" w:cs="Arial"/>
          <w:bCs/>
          <w:sz w:val="17"/>
          <w:szCs w:val="17"/>
        </w:rPr>
      </w:pPr>
      <w:r>
        <w:rPr>
          <w:rFonts w:hint="default" w:ascii="Arial" w:hAnsi="Arial" w:cs="Arial"/>
          <w:b w:val="0"/>
          <w:bCs w:val="0"/>
          <w:sz w:val="17"/>
          <w:szCs w:val="17"/>
        </w:rPr>
        <w:t>1</w:t>
      </w:r>
      <w:r>
        <w:rPr>
          <w:rFonts w:hint="default" w:ascii="Arial" w:hAnsi="Arial" w:cs="Arial"/>
          <w:b w:val="0"/>
          <w:bCs w:val="0"/>
          <w:sz w:val="17"/>
          <w:szCs w:val="17"/>
          <w:lang w:val="pt-BR"/>
        </w:rPr>
        <w:t>4</w:t>
      </w:r>
      <w:r>
        <w:rPr>
          <w:rFonts w:hint="default" w:ascii="Arial" w:hAnsi="Arial" w:cs="Arial"/>
          <w:b w:val="0"/>
          <w:bCs w:val="0"/>
          <w:sz w:val="17"/>
          <w:szCs w:val="17"/>
        </w:rPr>
        <w:t>.1.</w:t>
      </w:r>
      <w:r>
        <w:rPr>
          <w:rFonts w:hint="default" w:ascii="Arial" w:hAnsi="Arial" w:cs="Arial"/>
          <w:b/>
          <w:bCs/>
          <w:sz w:val="17"/>
          <w:szCs w:val="17"/>
        </w:rPr>
        <w:t xml:space="preserve"> </w:t>
      </w:r>
      <w:r>
        <w:rPr>
          <w:rFonts w:hint="default" w:ascii="Arial" w:hAnsi="Arial" w:cs="Arial"/>
          <w:bCs/>
          <w:sz w:val="17"/>
          <w:szCs w:val="17"/>
        </w:rPr>
        <w:t xml:space="preserve">A aquisição dos serviços da presente Ata de Registro de Preços serão autorizadas, caso a caso, pela Secretaria /Prefeitura Municipal de Cataguases. </w:t>
      </w:r>
    </w:p>
    <w:p w14:paraId="084F9385">
      <w:pPr>
        <w:spacing w:line="240" w:lineRule="auto"/>
        <w:jc w:val="both"/>
        <w:rPr>
          <w:rFonts w:hint="default" w:ascii="Arial" w:hAnsi="Arial" w:cs="Arial"/>
          <w:b/>
          <w:bCs/>
          <w:sz w:val="17"/>
          <w:szCs w:val="17"/>
        </w:rPr>
      </w:pPr>
    </w:p>
    <w:p w14:paraId="11CA1B46">
      <w:pPr>
        <w:spacing w:line="240" w:lineRule="auto"/>
        <w:jc w:val="both"/>
        <w:rPr>
          <w:rFonts w:hint="default" w:ascii="Arial" w:hAnsi="Arial" w:cs="Arial"/>
          <w:b/>
          <w:bCs/>
          <w:sz w:val="17"/>
          <w:szCs w:val="17"/>
        </w:rPr>
      </w:pPr>
      <w:r>
        <w:rPr>
          <w:rFonts w:hint="default" w:ascii="Arial" w:hAnsi="Arial" w:cs="Arial"/>
          <w:b/>
          <w:bCs/>
          <w:sz w:val="17"/>
          <w:szCs w:val="17"/>
        </w:rPr>
        <w:t xml:space="preserve">CLÁUSULA DÉCIMA </w:t>
      </w:r>
      <w:r>
        <w:rPr>
          <w:rFonts w:hint="default" w:ascii="Arial" w:hAnsi="Arial" w:cs="Arial"/>
          <w:b/>
          <w:bCs/>
          <w:sz w:val="17"/>
          <w:szCs w:val="17"/>
          <w:lang w:val="pt-BR"/>
        </w:rPr>
        <w:t>QUINTA</w:t>
      </w:r>
      <w:r>
        <w:rPr>
          <w:rFonts w:hint="default" w:ascii="Arial" w:hAnsi="Arial" w:cs="Arial"/>
          <w:b/>
          <w:bCs/>
          <w:sz w:val="17"/>
          <w:szCs w:val="17"/>
        </w:rPr>
        <w:t xml:space="preserve"> - </w:t>
      </w:r>
      <w:r>
        <w:rPr>
          <w:rFonts w:hint="default" w:ascii="Arial" w:hAnsi="Arial" w:cs="Arial" w:eastAsiaTheme="minorHAnsi"/>
          <w:b/>
          <w:bCs/>
          <w:color w:val="000000"/>
          <w:sz w:val="17"/>
          <w:szCs w:val="17"/>
          <w:lang w:eastAsia="en-US"/>
        </w:rPr>
        <w:t>GESTOR DA ATA DE REGISTRO DE PREÇO</w:t>
      </w:r>
    </w:p>
    <w:p w14:paraId="33E5512E">
      <w:pPr>
        <w:spacing w:line="240" w:lineRule="auto"/>
        <w:jc w:val="both"/>
        <w:rPr>
          <w:rFonts w:ascii="Arial" w:hAnsi="Arial" w:eastAsia="Arial-BoldMT" w:cs="Arial"/>
          <w:bCs/>
          <w:color w:val="000000"/>
          <w:sz w:val="17"/>
          <w:szCs w:val="17"/>
          <w:lang w:eastAsia="pt-BR"/>
        </w:rPr>
      </w:pPr>
      <w:r>
        <w:rPr>
          <w:rFonts w:hint="default" w:ascii="Arial" w:hAnsi="Arial" w:cs="Arial" w:eastAsiaTheme="minorHAnsi"/>
          <w:b w:val="0"/>
          <w:bCs/>
          <w:color w:val="000000"/>
          <w:sz w:val="17"/>
          <w:szCs w:val="17"/>
          <w:lang w:eastAsia="en-US"/>
        </w:rPr>
        <w:t>1</w:t>
      </w:r>
      <w:r>
        <w:rPr>
          <w:rFonts w:hint="default" w:ascii="Arial" w:hAnsi="Arial" w:cs="Arial" w:eastAsiaTheme="minorHAnsi"/>
          <w:b w:val="0"/>
          <w:bCs/>
          <w:color w:val="000000"/>
          <w:sz w:val="17"/>
          <w:szCs w:val="17"/>
          <w:lang w:val="pt-BR" w:eastAsia="en-US"/>
        </w:rPr>
        <w:t>5</w:t>
      </w:r>
      <w:r>
        <w:rPr>
          <w:rFonts w:hint="default" w:ascii="Arial" w:hAnsi="Arial" w:cs="Arial" w:eastAsiaTheme="minorHAnsi"/>
          <w:b w:val="0"/>
          <w:bCs/>
          <w:color w:val="000000"/>
          <w:sz w:val="17"/>
          <w:szCs w:val="17"/>
          <w:lang w:eastAsia="en-US"/>
        </w:rPr>
        <w:t xml:space="preserve">.1 A execução do contrato deverá ser acompanhada e fiscalizada </w:t>
      </w:r>
      <w:r>
        <w:rPr>
          <w:rFonts w:hint="default" w:ascii="Arial" w:hAnsi="Arial" w:cs="Arial" w:eastAsiaTheme="minorHAnsi"/>
          <w:b w:val="0"/>
          <w:bCs/>
          <w:color w:val="000000"/>
          <w:sz w:val="17"/>
          <w:szCs w:val="17"/>
          <w:lang w:val="pt-BR" w:eastAsia="en-US"/>
        </w:rPr>
        <w:t>pela servidora</w:t>
      </w:r>
      <w:r>
        <w:rPr>
          <w:rFonts w:hint="default" w:ascii="Arial" w:hAnsi="Arial" w:cs="Arial" w:eastAsiaTheme="minorHAnsi"/>
          <w:b w:val="0"/>
          <w:bCs/>
          <w:sz w:val="17"/>
          <w:szCs w:val="17"/>
          <w:lang w:eastAsia="en-US"/>
        </w:rPr>
        <w:t xml:space="preserve"> nos termos estabelecidos no presente instrumento</w:t>
      </w:r>
      <w:r>
        <w:rPr>
          <w:rFonts w:hint="default" w:ascii="Arial" w:hAnsi="Arial" w:cs="Arial" w:eastAsiaTheme="minorHAnsi"/>
          <w:b w:val="0"/>
          <w:bCs/>
          <w:sz w:val="17"/>
          <w:szCs w:val="17"/>
          <w:lang w:val="pt-BR" w:eastAsia="en-US"/>
        </w:rPr>
        <w:t>, a saber:</w:t>
      </w:r>
      <w:r>
        <w:rPr>
          <w:rFonts w:hint="default" w:ascii="Arial" w:hAnsi="Arial" w:eastAsiaTheme="minorHAnsi"/>
          <w:b w:val="0"/>
          <w:bCs/>
          <w:sz w:val="17"/>
          <w:szCs w:val="17"/>
          <w:lang w:val="pt-BR" w:eastAsia="en-US"/>
        </w:rPr>
        <w:t></w:t>
      </w:r>
      <w:bookmarkStart w:id="57" w:name="_GoBack"/>
      <w:bookmarkEnd w:id="57"/>
      <w:r>
        <w:rPr>
          <w:rFonts w:hint="default" w:ascii="Arial" w:hAnsi="Arial" w:eastAsia="Arial-BoldMT" w:cs="Arial"/>
          <w:bCs/>
          <w:color w:val="000000"/>
          <w:sz w:val="17"/>
          <w:szCs w:val="17"/>
          <w:lang w:val="en-US" w:eastAsia="pt-BR"/>
        </w:rPr>
        <w:t>Válber Araújo Xavier</w:t>
      </w:r>
    </w:p>
    <w:p w14:paraId="7F1AD50A">
      <w:pPr>
        <w:spacing w:line="240" w:lineRule="auto"/>
        <w:jc w:val="both"/>
        <w:rPr>
          <w:rFonts w:ascii="Arial" w:hAnsi="Arial" w:eastAsia="Arial-BoldMT" w:cs="Arial"/>
          <w:bCs/>
          <w:color w:val="000000"/>
          <w:sz w:val="17"/>
          <w:szCs w:val="17"/>
          <w:lang w:eastAsia="pt-BR"/>
        </w:rPr>
      </w:pPr>
      <w:r>
        <w:rPr>
          <w:rFonts w:hint="default" w:ascii="Arial" w:hAnsi="Arial" w:eastAsia="Arial"/>
          <w:b w:val="0"/>
          <w:bCs w:val="0"/>
          <w:i w:val="0"/>
          <w:smallCaps w:val="0"/>
          <w:strike w:val="0"/>
          <w:color w:val="000000"/>
          <w:sz w:val="17"/>
          <w:szCs w:val="17"/>
          <w:u w:val="none"/>
          <w:shd w:val="clear" w:fill="auto"/>
          <w:vertAlign w:val="baseline"/>
          <w:rtl w:val="0"/>
          <w:lang w:val="pt-BR"/>
        </w:rPr>
        <w:t>15</w:t>
      </w:r>
      <w:r>
        <w:rPr>
          <w:rFonts w:hint="default" w:ascii="Arial" w:hAnsi="Arial" w:cs="Arial" w:eastAsiaTheme="minorHAnsi"/>
          <w:b w:val="0"/>
          <w:bCs/>
          <w:color w:val="000000"/>
          <w:sz w:val="17"/>
          <w:szCs w:val="17"/>
          <w:lang w:eastAsia="en-US"/>
        </w:rPr>
        <w:t xml:space="preserve">.2 </w:t>
      </w:r>
      <w:r>
        <w:rPr>
          <w:rFonts w:ascii="Arial" w:hAnsi="Arial" w:eastAsia="Arial-BoldMT" w:cs="Arial"/>
          <w:bCs/>
          <w:color w:val="000000"/>
          <w:sz w:val="17"/>
          <w:szCs w:val="17"/>
          <w:lang w:eastAsia="pt-BR"/>
        </w:rPr>
        <w:t xml:space="preserve"> A contratada deverá permitir e facilitar, a qualquer tempo, a fiscalização do fornecimento das refeições, garantindo livre acesso às informações e documentos pertinentes, sem que isso implique transferência de responsabilidade à Administração.</w:t>
      </w:r>
    </w:p>
    <w:p w14:paraId="181F2598">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cs="Arial"/>
          <w:bCs/>
          <w:color w:val="000000"/>
          <w:sz w:val="17"/>
          <w:szCs w:val="17"/>
          <w:lang w:val="en-US" w:eastAsia="pt-BR"/>
        </w:rPr>
        <w:t xml:space="preserve">15.3 </w:t>
      </w:r>
      <w:r>
        <w:rPr>
          <w:rFonts w:ascii="Arial" w:hAnsi="Arial" w:eastAsia="Arial-BoldMT" w:cs="Arial"/>
          <w:bCs/>
          <w:color w:val="000000"/>
          <w:sz w:val="17"/>
          <w:szCs w:val="17"/>
          <w:lang w:eastAsia="pt-BR"/>
        </w:rPr>
        <w:t>A fiscalização não exclui nem reduz a responsabilidade da contratada pela qualidade, pontualidade, higiene e conformidade das refeições fornecidas, seja no restaurante ou por meio de entrega externa. Compete ao gestor do contrato o controle administrativo e documental da execução, e ao fiscal designado a verificação do fornecimento, da qualidade e das condições das refeições, bem como o atesto das notas fiscais.</w:t>
      </w:r>
    </w:p>
    <w:p w14:paraId="620EE8DC">
      <w:pPr>
        <w:keepNext w:val="0"/>
        <w:keepLines w:val="0"/>
        <w:pageBreakBefore w:val="0"/>
        <w:suppressAutoHyphens/>
        <w:kinsoku/>
        <w:wordWrap/>
        <w:overflowPunct/>
        <w:topLinePunct w:val="0"/>
        <w:bidi w:val="0"/>
        <w:adjustRightInd/>
        <w:snapToGrid/>
        <w:spacing w:line="240" w:lineRule="auto"/>
        <w:ind w:left="0" w:leftChars="0" w:right="0" w:firstLine="0" w:firstLineChars="0"/>
        <w:jc w:val="both"/>
        <w:textAlignment w:val="auto"/>
        <w:rPr>
          <w:rFonts w:ascii="Arial" w:hAnsi="Arial" w:eastAsia="Arial-BoldMT" w:cs="Arial"/>
          <w:bCs/>
          <w:color w:val="000000"/>
          <w:sz w:val="17"/>
          <w:szCs w:val="17"/>
          <w:lang w:eastAsia="pt-BR"/>
        </w:rPr>
      </w:pPr>
      <w:r>
        <w:rPr>
          <w:rFonts w:hint="default" w:ascii="Arial" w:hAnsi="Arial" w:eastAsia="Arial-BoldMT" w:cs="Arial"/>
          <w:bCs/>
          <w:color w:val="000000"/>
          <w:sz w:val="17"/>
          <w:szCs w:val="17"/>
          <w:lang w:val="en-US" w:eastAsia="pt-BR"/>
        </w:rPr>
        <w:t xml:space="preserve">15.4 </w:t>
      </w:r>
      <w:r>
        <w:rPr>
          <w:rFonts w:ascii="Arial" w:hAnsi="Arial" w:eastAsia="Arial-BoldMT" w:cs="Arial"/>
          <w:bCs/>
          <w:color w:val="000000"/>
          <w:sz w:val="17"/>
          <w:szCs w:val="17"/>
          <w:lang w:eastAsia="pt-BR"/>
        </w:rPr>
        <w:t>O fiscal deverá registrar todas as ocorrências relevantes e adotar as medidas necessárias à correção de falhas, comunicando a autoridade competente. A fiscalização não exime a contratada de suas responsabilidades legais e contratuais, nem implica em corresponsabilidade da Administração Pública, nos termos da Lei nº 14.133/2021.</w:t>
      </w:r>
    </w:p>
    <w:p w14:paraId="18E6DC6A">
      <w:pPr>
        <w:tabs>
          <w:tab w:val="left" w:pos="567"/>
        </w:tabs>
        <w:spacing w:line="240" w:lineRule="auto"/>
        <w:jc w:val="both"/>
        <w:rPr>
          <w:rFonts w:hint="default" w:ascii="Arial" w:hAnsi="Arial" w:cs="Arial" w:eastAsiaTheme="minorHAnsi"/>
          <w:b w:val="0"/>
          <w:bCs/>
          <w:color w:val="000000"/>
          <w:sz w:val="17"/>
          <w:szCs w:val="17"/>
          <w:lang w:eastAsia="en-US"/>
        </w:rPr>
      </w:pPr>
      <w:r>
        <w:rPr>
          <w:rFonts w:hint="default" w:ascii="Arial" w:hAnsi="Arial" w:cs="Arial" w:eastAsiaTheme="minorHAnsi"/>
          <w:b w:val="0"/>
          <w:bCs/>
          <w:color w:val="000000"/>
          <w:sz w:val="17"/>
          <w:szCs w:val="17"/>
          <w:lang w:val="pt-BR" w:eastAsia="en-US"/>
        </w:rPr>
        <w:t xml:space="preserve">15.5 </w:t>
      </w:r>
      <w:r>
        <w:rPr>
          <w:rFonts w:hint="default" w:ascii="Arial" w:hAnsi="Arial" w:cs="Arial" w:eastAsiaTheme="minorHAnsi"/>
          <w:b w:val="0"/>
          <w:bCs/>
          <w:color w:val="000000"/>
          <w:sz w:val="17"/>
          <w:szCs w:val="17"/>
          <w:lang w:eastAsia="en-US"/>
        </w:rPr>
        <w:t>A fiscalização ou acompanhamento do contrato pela Administração não excluiu ou reduz a responsabilidade do contratado.</w:t>
      </w:r>
    </w:p>
    <w:p w14:paraId="49DB4B73">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b w:val="0"/>
          <w:bCs/>
          <w:iCs/>
          <w:sz w:val="17"/>
          <w:szCs w:val="17"/>
          <w:lang w:val="pt-BR"/>
        </w:rPr>
        <w:t xml:space="preserve">15.6 </w:t>
      </w:r>
      <w:r>
        <w:rPr>
          <w:rFonts w:hint="default" w:ascii="Arial" w:hAnsi="Arial" w:cs="Arial"/>
          <w:b w:val="0"/>
          <w:bCs/>
          <w:iCs/>
          <w:sz w:val="17"/>
          <w:szCs w:val="17"/>
        </w:rPr>
        <w:t>N</w:t>
      </w:r>
      <w:r>
        <w:rPr>
          <w:rFonts w:hint="default" w:ascii="Arial" w:hAnsi="Arial" w:cs="Arial"/>
          <w:iCs/>
          <w:sz w:val="17"/>
          <w:szCs w:val="17"/>
        </w:rPr>
        <w:t xml:space="preserve">a </w:t>
      </w:r>
      <w:r>
        <w:rPr>
          <w:rFonts w:hint="default" w:ascii="Arial" w:hAnsi="Arial" w:cs="Arial"/>
          <w:sz w:val="17"/>
          <w:szCs w:val="17"/>
        </w:rPr>
        <w:t xml:space="preserve">ausência dos servidores que ocupam os cargos acima, os responsáveis tanto pela </w:t>
      </w:r>
      <w:r>
        <w:rPr>
          <w:rFonts w:hint="default" w:ascii="Arial" w:hAnsi="Arial" w:cs="Arial"/>
          <w:spacing w:val="-59"/>
          <w:sz w:val="17"/>
          <w:szCs w:val="17"/>
        </w:rPr>
        <w:t xml:space="preserve"> </w:t>
      </w:r>
      <w:r>
        <w:rPr>
          <w:rFonts w:hint="default" w:ascii="Arial" w:hAnsi="Arial" w:cs="Arial"/>
          <w:sz w:val="17"/>
          <w:szCs w:val="17"/>
        </w:rPr>
        <w:t>gestão</w:t>
      </w:r>
      <w:r>
        <w:rPr>
          <w:rFonts w:hint="default" w:ascii="Arial" w:hAnsi="Arial" w:cs="Arial"/>
          <w:spacing w:val="-14"/>
          <w:sz w:val="17"/>
          <w:szCs w:val="17"/>
        </w:rPr>
        <w:t xml:space="preserve"> </w:t>
      </w:r>
      <w:r>
        <w:rPr>
          <w:rFonts w:hint="default" w:ascii="Arial" w:hAnsi="Arial" w:cs="Arial"/>
          <w:sz w:val="17"/>
          <w:szCs w:val="17"/>
        </w:rPr>
        <w:t>quanto</w:t>
      </w:r>
      <w:r>
        <w:rPr>
          <w:rFonts w:hint="default" w:ascii="Arial" w:hAnsi="Arial" w:cs="Arial"/>
          <w:spacing w:val="-13"/>
          <w:sz w:val="17"/>
          <w:szCs w:val="17"/>
        </w:rPr>
        <w:t xml:space="preserve"> </w:t>
      </w:r>
      <w:r>
        <w:rPr>
          <w:rFonts w:hint="default" w:ascii="Arial" w:hAnsi="Arial" w:cs="Arial"/>
          <w:sz w:val="17"/>
          <w:szCs w:val="17"/>
        </w:rPr>
        <w:t>pela</w:t>
      </w:r>
      <w:r>
        <w:rPr>
          <w:rFonts w:hint="default" w:ascii="Arial" w:hAnsi="Arial" w:cs="Arial"/>
          <w:spacing w:val="-12"/>
          <w:sz w:val="17"/>
          <w:szCs w:val="17"/>
        </w:rPr>
        <w:t xml:space="preserve"> </w:t>
      </w:r>
      <w:r>
        <w:rPr>
          <w:rFonts w:hint="default" w:ascii="Arial" w:hAnsi="Arial" w:cs="Arial"/>
          <w:sz w:val="17"/>
          <w:szCs w:val="17"/>
        </w:rPr>
        <w:t>fiscalização</w:t>
      </w:r>
      <w:r>
        <w:rPr>
          <w:rFonts w:hint="default" w:ascii="Arial" w:hAnsi="Arial" w:cs="Arial"/>
          <w:spacing w:val="-10"/>
          <w:sz w:val="17"/>
          <w:szCs w:val="17"/>
        </w:rPr>
        <w:t xml:space="preserve"> </w:t>
      </w:r>
      <w:r>
        <w:rPr>
          <w:rFonts w:hint="default" w:ascii="Arial" w:hAnsi="Arial" w:cs="Arial"/>
          <w:sz w:val="17"/>
          <w:szCs w:val="17"/>
        </w:rPr>
        <w:t>serão</w:t>
      </w:r>
      <w:r>
        <w:rPr>
          <w:rFonts w:hint="default" w:ascii="Arial" w:hAnsi="Arial" w:cs="Arial"/>
          <w:spacing w:val="-13"/>
          <w:sz w:val="17"/>
          <w:szCs w:val="17"/>
        </w:rPr>
        <w:t xml:space="preserve"> </w:t>
      </w:r>
      <w:r>
        <w:rPr>
          <w:rFonts w:hint="default" w:ascii="Arial" w:hAnsi="Arial" w:cs="Arial"/>
          <w:sz w:val="17"/>
          <w:szCs w:val="17"/>
        </w:rPr>
        <w:t>os</w:t>
      </w:r>
      <w:r>
        <w:rPr>
          <w:rFonts w:hint="default" w:ascii="Arial" w:hAnsi="Arial" w:cs="Arial"/>
          <w:spacing w:val="-13"/>
          <w:sz w:val="17"/>
          <w:szCs w:val="17"/>
        </w:rPr>
        <w:t xml:space="preserve"> </w:t>
      </w:r>
      <w:r>
        <w:rPr>
          <w:rFonts w:hint="default" w:ascii="Arial" w:hAnsi="Arial" w:cs="Arial"/>
          <w:sz w:val="17"/>
          <w:szCs w:val="17"/>
        </w:rPr>
        <w:t>servidores</w:t>
      </w:r>
      <w:r>
        <w:rPr>
          <w:rFonts w:hint="default" w:ascii="Arial" w:hAnsi="Arial" w:cs="Arial"/>
          <w:spacing w:val="-10"/>
          <w:sz w:val="17"/>
          <w:szCs w:val="17"/>
        </w:rPr>
        <w:t xml:space="preserve"> </w:t>
      </w:r>
      <w:r>
        <w:rPr>
          <w:rFonts w:hint="default" w:ascii="Arial" w:hAnsi="Arial" w:cs="Arial"/>
          <w:sz w:val="17"/>
          <w:szCs w:val="17"/>
        </w:rPr>
        <w:t>que</w:t>
      </w:r>
      <w:r>
        <w:rPr>
          <w:rFonts w:hint="default" w:ascii="Arial" w:hAnsi="Arial" w:cs="Arial"/>
          <w:spacing w:val="-13"/>
          <w:sz w:val="17"/>
          <w:szCs w:val="17"/>
        </w:rPr>
        <w:t xml:space="preserve"> </w:t>
      </w:r>
      <w:r>
        <w:rPr>
          <w:rFonts w:hint="default" w:ascii="Arial" w:hAnsi="Arial" w:cs="Arial"/>
          <w:sz w:val="17"/>
          <w:szCs w:val="17"/>
        </w:rPr>
        <w:t>estiverem</w:t>
      </w:r>
      <w:r>
        <w:rPr>
          <w:rFonts w:hint="default" w:ascii="Arial" w:hAnsi="Arial" w:cs="Arial"/>
          <w:spacing w:val="-11"/>
          <w:sz w:val="17"/>
          <w:szCs w:val="17"/>
        </w:rPr>
        <w:t xml:space="preserve"> </w:t>
      </w:r>
      <w:r>
        <w:rPr>
          <w:rFonts w:hint="default" w:ascii="Arial" w:hAnsi="Arial" w:cs="Arial"/>
          <w:sz w:val="17"/>
          <w:szCs w:val="17"/>
        </w:rPr>
        <w:t>atuando</w:t>
      </w:r>
      <w:r>
        <w:rPr>
          <w:rFonts w:hint="default" w:ascii="Arial" w:hAnsi="Arial" w:cs="Arial"/>
          <w:spacing w:val="-15"/>
          <w:sz w:val="17"/>
          <w:szCs w:val="17"/>
        </w:rPr>
        <w:t xml:space="preserve"> </w:t>
      </w:r>
      <w:r>
        <w:rPr>
          <w:rFonts w:hint="default" w:ascii="Arial" w:hAnsi="Arial" w:cs="Arial"/>
          <w:sz w:val="17"/>
          <w:szCs w:val="17"/>
        </w:rPr>
        <w:t>em</w:t>
      </w:r>
      <w:r>
        <w:rPr>
          <w:rFonts w:hint="default" w:ascii="Arial" w:hAnsi="Arial" w:cs="Arial"/>
          <w:spacing w:val="-12"/>
          <w:sz w:val="17"/>
          <w:szCs w:val="17"/>
        </w:rPr>
        <w:t xml:space="preserve"> </w:t>
      </w:r>
      <w:r>
        <w:rPr>
          <w:rFonts w:hint="default" w:ascii="Arial" w:hAnsi="Arial" w:cs="Arial"/>
          <w:sz w:val="17"/>
          <w:szCs w:val="17"/>
        </w:rPr>
        <w:t xml:space="preserve">substituição </w:t>
      </w:r>
      <w:r>
        <w:rPr>
          <w:rFonts w:hint="default" w:ascii="Arial" w:hAnsi="Arial" w:cs="Arial"/>
          <w:spacing w:val="-59"/>
          <w:sz w:val="17"/>
          <w:szCs w:val="17"/>
        </w:rPr>
        <w:t xml:space="preserve">     </w:t>
      </w:r>
      <w:r>
        <w:rPr>
          <w:rFonts w:hint="default" w:ascii="Arial" w:hAnsi="Arial" w:cs="Arial"/>
          <w:sz w:val="17"/>
          <w:szCs w:val="17"/>
        </w:rPr>
        <w:t>aos referidos</w:t>
      </w:r>
      <w:r>
        <w:rPr>
          <w:rFonts w:hint="default" w:ascii="Arial" w:hAnsi="Arial" w:cs="Arial"/>
          <w:spacing w:val="-2"/>
          <w:sz w:val="17"/>
          <w:szCs w:val="17"/>
        </w:rPr>
        <w:t xml:space="preserve"> </w:t>
      </w:r>
      <w:r>
        <w:rPr>
          <w:rFonts w:hint="default" w:ascii="Arial" w:hAnsi="Arial" w:cs="Arial"/>
          <w:sz w:val="17"/>
          <w:szCs w:val="17"/>
        </w:rPr>
        <w:t>cargos.</w:t>
      </w:r>
    </w:p>
    <w:p w14:paraId="452855DA">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15.7 </w:t>
      </w:r>
      <w:r>
        <w:rPr>
          <w:rFonts w:hint="default" w:ascii="Arial" w:hAnsi="Arial" w:cs="Arial"/>
          <w:sz w:val="17"/>
          <w:szCs w:val="17"/>
        </w:rPr>
        <w:t>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fiscal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acima</w:t>
      </w:r>
      <w:r>
        <w:rPr>
          <w:rFonts w:hint="default" w:ascii="Arial" w:hAnsi="Arial" w:cs="Arial"/>
          <w:spacing w:val="1"/>
          <w:sz w:val="17"/>
          <w:szCs w:val="17"/>
        </w:rPr>
        <w:t xml:space="preserve"> </w:t>
      </w:r>
      <w:r>
        <w:rPr>
          <w:rFonts w:hint="default" w:ascii="Arial" w:hAnsi="Arial" w:cs="Arial"/>
          <w:sz w:val="17"/>
          <w:szCs w:val="17"/>
        </w:rPr>
        <w:t>identificado</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do objeto</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lang w:val="pt-BR"/>
        </w:rPr>
        <w:t xml:space="preserve">15.6 </w:t>
      </w:r>
      <w:r>
        <w:rPr>
          <w:rFonts w:hint="default" w:ascii="Arial" w:hAnsi="Arial" w:cs="Arial"/>
          <w:sz w:val="17"/>
          <w:szCs w:val="17"/>
        </w:rPr>
        <w:t>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 xml:space="preserve">objeto, devendo o servidor designado verificar a qualidade e procedência da prestação do </w:t>
      </w:r>
      <w:r>
        <w:rPr>
          <w:rFonts w:hint="default" w:ascii="Arial" w:hAnsi="Arial" w:cs="Arial"/>
          <w:spacing w:val="-59"/>
          <w:sz w:val="17"/>
          <w:szCs w:val="17"/>
        </w:rPr>
        <w:t xml:space="preserve"> </w:t>
      </w:r>
      <w:r>
        <w:rPr>
          <w:rFonts w:hint="default" w:ascii="Arial" w:hAnsi="Arial" w:cs="Arial"/>
          <w:sz w:val="17"/>
          <w:szCs w:val="17"/>
        </w:rPr>
        <w:t xml:space="preserve">objeto. </w:t>
      </w:r>
    </w:p>
    <w:p w14:paraId="1BB51F47">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15.8 </w:t>
      </w:r>
      <w:r>
        <w:rPr>
          <w:rFonts w:hint="default" w:ascii="Arial" w:hAnsi="Arial" w:cs="Arial"/>
          <w:sz w:val="17"/>
          <w:szCs w:val="17"/>
        </w:rPr>
        <w:t>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13FB15A9">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rPr>
      </w:pPr>
      <w:r>
        <w:rPr>
          <w:rFonts w:hint="default" w:ascii="Arial" w:hAnsi="Arial" w:cs="Arial"/>
          <w:sz w:val="17"/>
          <w:szCs w:val="17"/>
          <w:lang w:val="pt-BR"/>
        </w:rPr>
        <w:t xml:space="preserve">15.9 </w:t>
      </w:r>
      <w:r>
        <w:rPr>
          <w:rFonts w:hint="default" w:ascii="Arial" w:hAnsi="Arial" w:cs="Arial"/>
          <w:sz w:val="17"/>
          <w:szCs w:val="17"/>
        </w:rPr>
        <w:t>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3A02201C">
      <w:pPr>
        <w:pStyle w:val="220"/>
        <w:widowControl w:val="0"/>
        <w:tabs>
          <w:tab w:val="left" w:pos="565"/>
        </w:tabs>
        <w:autoSpaceDE w:val="0"/>
        <w:autoSpaceDN w:val="0"/>
        <w:spacing w:line="240" w:lineRule="auto"/>
        <w:ind w:left="0" w:right="33"/>
        <w:contextualSpacing w:val="0"/>
        <w:jc w:val="both"/>
        <w:rPr>
          <w:rFonts w:hint="default" w:ascii="Arial" w:hAnsi="Arial" w:cs="Arial"/>
          <w:sz w:val="17"/>
          <w:szCs w:val="17"/>
          <w:lang w:val="pt-BR"/>
        </w:rPr>
      </w:pPr>
      <w:r>
        <w:rPr>
          <w:rFonts w:hint="default" w:ascii="Arial" w:hAnsi="Arial" w:cs="Arial"/>
          <w:sz w:val="17"/>
          <w:szCs w:val="17"/>
          <w:lang w:val="pt-BR"/>
        </w:rPr>
        <w:t xml:space="preserve">15.10 </w:t>
      </w:r>
      <w:r>
        <w:rPr>
          <w:rFonts w:hint="default" w:ascii="Arial" w:hAnsi="Arial" w:cs="Arial"/>
          <w:b w:val="0"/>
          <w:bCs/>
          <w:sz w:val="17"/>
          <w:szCs w:val="17"/>
          <w:u w:val="single"/>
          <w:lang w:val="pt-BR"/>
        </w:rPr>
        <w:t>A responsabilidade para verificação das certidões de regularidade fiscal e trabalhista cabe ao fiscal do contrato e/ou gestor do contrato. As assinaturas no verso da nota atestam a regularidade e obrigações cumpridas pela empresa.</w:t>
      </w:r>
    </w:p>
    <w:p w14:paraId="06C1FFC5">
      <w:pPr>
        <w:spacing w:line="240" w:lineRule="auto"/>
        <w:jc w:val="both"/>
        <w:rPr>
          <w:rFonts w:hint="default" w:ascii="Arial" w:hAnsi="Arial" w:cs="Arial" w:eastAsiaTheme="minorHAnsi"/>
          <w:b/>
          <w:bCs/>
          <w:sz w:val="17"/>
          <w:szCs w:val="17"/>
        </w:rPr>
      </w:pPr>
    </w:p>
    <w:p w14:paraId="5C626867">
      <w:pPr>
        <w:spacing w:line="240" w:lineRule="auto"/>
        <w:jc w:val="both"/>
        <w:rPr>
          <w:rFonts w:hint="default" w:ascii="Arial" w:hAnsi="Arial" w:cs="Arial"/>
          <w:b/>
          <w:bCs/>
          <w:sz w:val="17"/>
          <w:szCs w:val="17"/>
        </w:rPr>
      </w:pPr>
      <w:r>
        <w:rPr>
          <w:rFonts w:hint="default" w:ascii="Arial" w:hAnsi="Arial" w:cs="Arial" w:eastAsiaTheme="minorHAnsi"/>
          <w:b/>
          <w:bCs/>
          <w:sz w:val="17"/>
          <w:szCs w:val="17"/>
        </w:rPr>
        <w:t xml:space="preserve">CLÁUSULA DÉCIMA </w:t>
      </w:r>
      <w:r>
        <w:rPr>
          <w:rFonts w:hint="default" w:ascii="Arial" w:hAnsi="Arial" w:cs="Arial" w:eastAsiaTheme="minorHAnsi"/>
          <w:b/>
          <w:bCs/>
          <w:sz w:val="17"/>
          <w:szCs w:val="17"/>
          <w:lang w:val="pt-BR"/>
        </w:rPr>
        <w:t>SEXTA</w:t>
      </w:r>
      <w:r>
        <w:rPr>
          <w:rFonts w:hint="default" w:ascii="Arial" w:hAnsi="Arial" w:cs="Arial" w:eastAsiaTheme="minorHAnsi"/>
          <w:b/>
          <w:bCs/>
          <w:sz w:val="17"/>
          <w:szCs w:val="17"/>
        </w:rPr>
        <w:t xml:space="preserve">- DAS DISPOSIÇÕES FINAIS </w:t>
      </w:r>
    </w:p>
    <w:p w14:paraId="0A64A08E">
      <w:pPr>
        <w:spacing w:line="240" w:lineRule="auto"/>
        <w:jc w:val="both"/>
        <w:rPr>
          <w:rFonts w:hint="default" w:ascii="Arial" w:hAnsi="Arial" w:cs="Arial"/>
          <w:bCs/>
          <w:sz w:val="17"/>
          <w:szCs w:val="17"/>
        </w:rPr>
      </w:pPr>
      <w:r>
        <w:rPr>
          <w:rFonts w:hint="default" w:ascii="Arial" w:hAnsi="Arial" w:cs="Arial" w:eastAsiaTheme="minorHAnsi"/>
          <w:b w:val="0"/>
          <w:bCs w:val="0"/>
          <w:sz w:val="17"/>
          <w:szCs w:val="17"/>
        </w:rPr>
        <w:t>1</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.1. A</w:t>
      </w:r>
      <w:r>
        <w:rPr>
          <w:rFonts w:hint="default" w:ascii="Arial" w:hAnsi="Arial" w:cs="Arial" w:eastAsiaTheme="minorHAnsi"/>
          <w:bCs/>
          <w:sz w:val="17"/>
          <w:szCs w:val="17"/>
        </w:rPr>
        <w:t xml:space="preserve"> questão decorrente da utilização da presente Ata, que não possam ser dirimidas administrativamente, serão processadas e julgadas na Justiça Estadual, no Foro da Cidade de Cataguases - MG, com exclusão de qualquer outro por mais privilegiado que seja, salvo nos casos previstos no art. 102, inciso I, alínea “d”, da Constituição Federal.</w:t>
      </w:r>
    </w:p>
    <w:p w14:paraId="1705CA20">
      <w:pPr>
        <w:jc w:val="both"/>
        <w:rPr>
          <w:rFonts w:hint="default" w:ascii="Arial" w:hAnsi="Arial" w:cs="Arial" w:eastAsiaTheme="minorHAnsi"/>
          <w:b w:val="0"/>
          <w:bCs w:val="0"/>
          <w:sz w:val="17"/>
          <w:szCs w:val="17"/>
        </w:rPr>
      </w:pPr>
      <w:r>
        <w:rPr>
          <w:rFonts w:hint="default" w:ascii="Arial" w:hAnsi="Arial" w:cs="Arial" w:eastAsiaTheme="minorHAnsi"/>
          <w:b w:val="0"/>
          <w:bCs w:val="0"/>
          <w:sz w:val="17"/>
          <w:szCs w:val="17"/>
        </w:rPr>
        <w:t>Cataguases, ___ de _de 202</w:t>
      </w:r>
      <w:r>
        <w:rPr>
          <w:rFonts w:hint="default" w:ascii="Arial" w:hAnsi="Arial" w:cs="Arial" w:eastAsiaTheme="minorHAnsi"/>
          <w:b w:val="0"/>
          <w:bCs w:val="0"/>
          <w:sz w:val="17"/>
          <w:szCs w:val="17"/>
          <w:lang w:val="pt-BR"/>
        </w:rPr>
        <w:t>6</w:t>
      </w:r>
      <w:r>
        <w:rPr>
          <w:rFonts w:hint="default" w:ascii="Arial" w:hAnsi="Arial" w:cs="Arial" w:eastAsiaTheme="minorHAnsi"/>
          <w:b w:val="0"/>
          <w:bCs w:val="0"/>
          <w:sz w:val="17"/>
          <w:szCs w:val="17"/>
        </w:rPr>
        <w:t>.</w:t>
      </w:r>
    </w:p>
    <w:p w14:paraId="10631D5B">
      <w:pPr>
        <w:jc w:val="both"/>
        <w:rPr>
          <w:rFonts w:hint="default" w:ascii="Arial" w:hAnsi="Arial" w:cs="Arial" w:eastAsiaTheme="minorHAnsi"/>
          <w:sz w:val="17"/>
          <w:szCs w:val="17"/>
        </w:rPr>
      </w:pPr>
    </w:p>
    <w:p w14:paraId="3E9981AB">
      <w:pPr>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                                                           __________________________</w:t>
      </w:r>
      <w:r>
        <w:rPr>
          <w:rFonts w:hint="default" w:ascii="Arial" w:hAnsi="Arial" w:cs="Arial" w:eastAsiaTheme="minorHAnsi"/>
          <w:bCs/>
          <w:color w:val="000000"/>
          <w:sz w:val="17"/>
          <w:szCs w:val="17"/>
        </w:rPr>
        <w:t xml:space="preserve">     </w:t>
      </w:r>
    </w:p>
    <w:p w14:paraId="3BC3C428">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38CD2325">
      <w:pPr>
        <w:jc w:val="both"/>
        <w:rPr>
          <w:rFonts w:hint="default" w:ascii="Arial" w:hAnsi="Arial" w:cs="Arial" w:eastAsiaTheme="minorHAnsi"/>
          <w:sz w:val="17"/>
          <w:szCs w:val="17"/>
        </w:rPr>
      </w:pPr>
      <w:r>
        <w:rPr>
          <w:rFonts w:hint="default" w:ascii="Arial" w:hAnsi="Arial" w:cs="Arial" w:eastAsiaTheme="minorHAnsi"/>
          <w:sz w:val="17"/>
          <w:szCs w:val="17"/>
        </w:rPr>
        <w:t>________________________                                                                __________________________</w:t>
      </w:r>
    </w:p>
    <w:p w14:paraId="6D940125">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53D4C759">
      <w:pPr>
        <w:ind w:left="-284" w:firstLine="284"/>
        <w:jc w:val="both"/>
        <w:rPr>
          <w:rFonts w:hint="default" w:ascii="Arial" w:hAnsi="Arial" w:cs="Arial" w:eastAsiaTheme="minorHAnsi"/>
          <w:bCs/>
          <w:color w:val="000000"/>
          <w:sz w:val="17"/>
          <w:szCs w:val="17"/>
        </w:rPr>
      </w:pPr>
    </w:p>
    <w:p w14:paraId="71A93832">
      <w:pPr>
        <w:ind w:left="-284" w:firstLine="284"/>
        <w:jc w:val="both"/>
        <w:rPr>
          <w:rFonts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__________________________</w:t>
      </w:r>
    </w:p>
    <w:p w14:paraId="3576732E">
      <w:pPr>
        <w:spacing w:line="240" w:lineRule="auto"/>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Prefeito de Cataguases</w:t>
      </w:r>
    </w:p>
    <w:p w14:paraId="30C4AAF1">
      <w:pPr>
        <w:jc w:val="center"/>
        <w:rPr>
          <w:rFonts w:ascii="Arial" w:hAnsi="Arial" w:cs="Arial"/>
          <w:b/>
          <w:bCs/>
          <w:sz w:val="26"/>
          <w:szCs w:val="26"/>
        </w:rPr>
      </w:pPr>
    </w:p>
    <w:p w14:paraId="2F2A9B53">
      <w:pPr>
        <w:rPr>
          <w:rFonts w:hint="default" w:ascii="Arial" w:hAnsi="Arial" w:cs="Arial"/>
          <w:b/>
          <w:bCs/>
          <w:sz w:val="26"/>
          <w:szCs w:val="26"/>
          <w:lang w:val="pt-BR"/>
        </w:rPr>
      </w:pPr>
      <w:r>
        <w:rPr>
          <w:rFonts w:hint="default" w:ascii="Arial" w:hAnsi="Arial" w:cs="Arial"/>
          <w:b/>
          <w:bCs/>
          <w:sz w:val="26"/>
          <w:szCs w:val="26"/>
          <w:lang w:val="pt-BR"/>
        </w:rPr>
        <w:br w:type="page"/>
      </w:r>
    </w:p>
    <w:p w14:paraId="38BACB4E">
      <w:pPr>
        <w:jc w:val="center"/>
        <w:rPr>
          <w:rFonts w:ascii="Arial" w:hAnsi="Arial" w:cs="Arial"/>
          <w:b/>
          <w:bCs/>
          <w:sz w:val="26"/>
          <w:szCs w:val="26"/>
        </w:rPr>
      </w:pPr>
      <w:r>
        <w:rPr>
          <w:rFonts w:hint="default" w:ascii="Arial" w:hAnsi="Arial" w:cs="Arial"/>
          <w:b/>
          <w:bCs/>
          <w:sz w:val="26"/>
          <w:szCs w:val="26"/>
          <w:lang w:val="pt-BR"/>
        </w:rPr>
        <w:t>A</w:t>
      </w:r>
      <w:r>
        <w:rPr>
          <w:rFonts w:ascii="Arial" w:hAnsi="Arial" w:cs="Arial"/>
          <w:b/>
          <w:bCs/>
          <w:sz w:val="26"/>
          <w:szCs w:val="26"/>
        </w:rPr>
        <w:t>NEXO IV</w:t>
      </w:r>
    </w:p>
    <w:p w14:paraId="57849830">
      <w:pPr>
        <w:spacing w:line="200" w:lineRule="atLeast"/>
        <w:jc w:val="both"/>
        <w:rPr>
          <w:rFonts w:ascii="Garamond" w:hAnsi="Garamond"/>
          <w:b/>
          <w:sz w:val="20"/>
          <w:szCs w:val="20"/>
          <w:lang w:eastAsia="ar-SA"/>
        </w:rPr>
      </w:pPr>
    </w:p>
    <w:p w14:paraId="242C5860">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010/2026</w:t>
      </w:r>
    </w:p>
    <w:p w14:paraId="48D9D919">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004/2026</w:t>
      </w:r>
    </w:p>
    <w:p w14:paraId="1552BD48">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004/2026</w:t>
      </w:r>
    </w:p>
    <w:p w14:paraId="6C2640FB">
      <w:pPr>
        <w:spacing w:line="200" w:lineRule="atLeast"/>
        <w:jc w:val="center"/>
        <w:rPr>
          <w:rFonts w:hint="default" w:ascii="Garamond" w:hAnsi="Garamond"/>
          <w:b/>
          <w:sz w:val="20"/>
          <w:szCs w:val="20"/>
          <w:lang w:val="pt-BR" w:eastAsia="ar-SA"/>
        </w:rPr>
      </w:pPr>
    </w:p>
    <w:p w14:paraId="337F5233">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B3A6D48">
      <w:pPr>
        <w:autoSpaceDE w:val="0"/>
        <w:spacing w:line="200" w:lineRule="atLeast"/>
        <w:jc w:val="center"/>
        <w:rPr>
          <w:rFonts w:ascii="Arial" w:hAnsi="Arial" w:cs="Arial"/>
          <w:b/>
          <w:bCs/>
          <w:sz w:val="20"/>
          <w:szCs w:val="20"/>
          <w:lang w:eastAsia="ar-SA"/>
        </w:rPr>
      </w:pPr>
    </w:p>
    <w:p w14:paraId="2325E0BC">
      <w:pPr>
        <w:autoSpaceDE w:val="0"/>
        <w:spacing w:line="200" w:lineRule="atLeast"/>
        <w:rPr>
          <w:rFonts w:ascii="Arial" w:hAnsi="Arial" w:cs="Arial"/>
          <w:b/>
          <w:bCs/>
          <w:sz w:val="20"/>
          <w:szCs w:val="20"/>
          <w:lang w:eastAsia="ar-SA"/>
        </w:rPr>
      </w:pPr>
    </w:p>
    <w:p w14:paraId="12005646">
      <w:pPr>
        <w:pStyle w:val="14"/>
        <w:spacing w:line="360" w:lineRule="auto"/>
        <w:ind w:firstLine="708" w:firstLineChars="0"/>
        <w:jc w:val="both"/>
        <w:rPr>
          <w:rFonts w:ascii="Arial" w:hAnsi="Arial"/>
          <w:b w:val="0"/>
          <w:bCs w:val="0"/>
          <w:sz w:val="20"/>
          <w:szCs w:val="20"/>
          <w:highlight w:val="none"/>
        </w:rPr>
      </w:pPr>
      <w:r>
        <w:rPr>
          <w:rFonts w:ascii="Arial" w:hAnsi="Arial" w:cs="Arial"/>
          <w:b w:val="0"/>
          <w:bCs w:val="0"/>
          <w:sz w:val="20"/>
          <w:szCs w:val="20"/>
          <w:highlight w:val="none"/>
        </w:rPr>
        <w:t>A Empresa</w:t>
      </w:r>
      <w:r>
        <w:rPr>
          <w:rFonts w:hint="default" w:ascii="Arial" w:hAnsi="Arial" w:cs="Arial"/>
          <w:b w:val="0"/>
          <w:bCs w:val="0"/>
          <w:sz w:val="20"/>
          <w:szCs w:val="20"/>
          <w:highlight w:val="none"/>
          <w:lang w:val="pt-BR"/>
        </w:rPr>
        <w:t xml:space="preserve"> ___________________, </w:t>
      </w:r>
      <w:r>
        <w:rPr>
          <w:rFonts w:ascii="Arial" w:hAnsi="Arial" w:cs="Arial"/>
          <w:b w:val="0"/>
          <w:bCs w:val="0"/>
          <w:sz w:val="20"/>
          <w:szCs w:val="20"/>
          <w:highlight w:val="none"/>
        </w:rPr>
        <w:t>inscrita no CNPJ sob o nº</w:t>
      </w:r>
      <w:r>
        <w:rPr>
          <w:rFonts w:hint="default" w:ascii="Arial" w:hAnsi="Arial" w:cs="Arial"/>
          <w:b w:val="0"/>
          <w:bCs w:val="0"/>
          <w:sz w:val="20"/>
          <w:szCs w:val="20"/>
          <w:highlight w:val="none"/>
          <w:lang w:val="pt-BR"/>
        </w:rPr>
        <w:t xml:space="preserve"> ______________________</w:t>
      </w:r>
      <w:r>
        <w:rPr>
          <w:rFonts w:ascii="Arial" w:hAnsi="Arial" w:cs="Arial"/>
          <w:b w:val="0"/>
          <w:bCs w:val="0"/>
          <w:sz w:val="20"/>
          <w:szCs w:val="20"/>
          <w:highlight w:val="none"/>
        </w:rPr>
        <w:t xml:space="preserve">, sediada </w:t>
      </w:r>
      <w:r>
        <w:rPr>
          <w:rFonts w:hint="default" w:ascii="Arial" w:hAnsi="Arial" w:cs="Arial"/>
          <w:b w:val="0"/>
          <w:bCs w:val="0"/>
          <w:sz w:val="20"/>
          <w:szCs w:val="20"/>
          <w:highlight w:val="none"/>
          <w:lang w:val="pt-BR"/>
        </w:rPr>
        <w:t xml:space="preserve">no endereço ________________________ representado por _________________________, </w:t>
      </w:r>
      <w:r>
        <w:rPr>
          <w:rFonts w:ascii="Arial" w:hAnsi="Arial" w:cs="Arial"/>
          <w:b w:val="0"/>
          <w:bCs w:val="0"/>
          <w:sz w:val="20"/>
          <w:szCs w:val="20"/>
          <w:highlight w:val="none"/>
          <w:lang w:eastAsia="ar-SA"/>
        </w:rPr>
        <w:t>DECLARA, sob as penas da Lei</w:t>
      </w:r>
      <w:r>
        <w:rPr>
          <w:rFonts w:hint="default" w:ascii="Arial" w:hAnsi="Arial" w:cs="Arial"/>
          <w:b w:val="0"/>
          <w:bCs w:val="0"/>
          <w:sz w:val="20"/>
          <w:szCs w:val="20"/>
          <w:highlight w:val="none"/>
          <w:lang w:val="pt-BR" w:eastAsia="ar-SA"/>
        </w:rPr>
        <w:t>:</w:t>
      </w:r>
    </w:p>
    <w:p w14:paraId="607BBD15">
      <w:pPr>
        <w:spacing w:line="200" w:lineRule="atLeast"/>
        <w:jc w:val="both"/>
        <w:rPr>
          <w:rFonts w:ascii="Arial" w:hAnsi="Arial"/>
          <w:sz w:val="20"/>
          <w:szCs w:val="20"/>
          <w:highlight w:val="none"/>
        </w:rPr>
      </w:pPr>
      <w:r>
        <w:rPr>
          <w:rFonts w:ascii="Arial" w:hAnsi="Arial" w:cs="Arial"/>
          <w:sz w:val="20"/>
          <w:szCs w:val="20"/>
          <w:highlight w:val="none"/>
          <w:lang w:eastAsia="ar-SA"/>
        </w:rPr>
        <w:t xml:space="preserve">                                   </w:t>
      </w:r>
    </w:p>
    <w:p w14:paraId="0E12CB53">
      <w:pPr>
        <w:keepNext w:val="0"/>
        <w:keepLines w:val="0"/>
        <w:pageBreakBefore w:val="0"/>
        <w:widowControl/>
        <w:numPr>
          <w:ilvl w:val="0"/>
          <w:numId w:val="27"/>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4E290F02">
      <w:pPr>
        <w:keepNext w:val="0"/>
        <w:keepLines w:val="0"/>
        <w:pageBreakBefore w:val="0"/>
        <w:widowControl/>
        <w:numPr>
          <w:ilvl w:val="0"/>
          <w:numId w:val="27"/>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cumpre as exigências de reserva de cargos para pessoa com deficiência e para reabilitado da Previdência Social, previstas em lei e em outras normas específicas; </w:t>
      </w:r>
      <w:r>
        <w:rPr>
          <w:rFonts w:ascii="Arial" w:hAnsi="Arial" w:cs="Arial"/>
          <w:sz w:val="20"/>
          <w:szCs w:val="20"/>
          <w:highlight w:val="none"/>
          <w:lang w:eastAsia="ar-SA"/>
        </w:rPr>
        <w:t>(inciso IV do art. 63 da Lei 14.133/21).</w:t>
      </w:r>
    </w:p>
    <w:p w14:paraId="3E6ED546">
      <w:pPr>
        <w:keepNext w:val="0"/>
        <w:keepLines w:val="0"/>
        <w:pageBreakBefore w:val="0"/>
        <w:widowControl/>
        <w:numPr>
          <w:ilvl w:val="0"/>
          <w:numId w:val="27"/>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highlight w:val="none"/>
          <w:lang w:eastAsia="ar-SA"/>
        </w:rPr>
        <w:t xml:space="preserve"> (inciso IV </w:t>
      </w:r>
      <w:r>
        <w:rPr>
          <w:rFonts w:hint="default" w:ascii="Arial" w:hAnsi="Arial" w:cs="Arial"/>
          <w:sz w:val="20"/>
          <w:szCs w:val="20"/>
          <w:highlight w:val="none"/>
          <w:lang w:val="pt-BR" w:eastAsia="ar-SA"/>
        </w:rPr>
        <w:t>§</w:t>
      </w:r>
      <w:r>
        <w:rPr>
          <w:rFonts w:ascii="Arial" w:hAnsi="Arial" w:cs="Arial"/>
          <w:sz w:val="20"/>
          <w:szCs w:val="20"/>
          <w:highlight w:val="none"/>
          <w:lang w:eastAsia="ar-SA"/>
        </w:rPr>
        <w:t xml:space="preserve"> 1º do art. 63 da Lei 14.133/21).</w:t>
      </w:r>
    </w:p>
    <w:p w14:paraId="27E37118">
      <w:pPr>
        <w:keepNext w:val="0"/>
        <w:keepLines w:val="0"/>
        <w:pageBreakBefore w:val="0"/>
        <w:widowControl/>
        <w:numPr>
          <w:ilvl w:val="0"/>
          <w:numId w:val="27"/>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color w:val="000000"/>
          <w:sz w:val="20"/>
          <w:szCs w:val="20"/>
          <w:highlight w:val="none"/>
        </w:rPr>
        <w:t xml:space="preserve">que não possui em seu quadro de pessoal ou societário servidor do Poder Executivo Municipal 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29B22390">
      <w:pPr>
        <w:keepNext w:val="0"/>
        <w:keepLines w:val="0"/>
        <w:pageBreakBefore w:val="0"/>
        <w:widowControl/>
        <w:numPr>
          <w:ilvl w:val="0"/>
          <w:numId w:val="27"/>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0"/>
          <w:highlight w:val="none"/>
        </w:rPr>
        <w:t xml:space="preserve">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1C2DF5F0">
      <w:pPr>
        <w:keepNext w:val="0"/>
        <w:keepLines w:val="0"/>
        <w:pageBreakBefore w:val="0"/>
        <w:widowControl/>
        <w:numPr>
          <w:ilvl w:val="0"/>
          <w:numId w:val="27"/>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6B825E">
      <w:pPr>
        <w:keepNext w:val="0"/>
        <w:keepLines w:val="0"/>
        <w:pageBreakBefore w:val="0"/>
        <w:widowControl/>
        <w:numPr>
          <w:ilvl w:val="0"/>
          <w:numId w:val="27"/>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eastAsia="ar-SA"/>
        </w:rPr>
        <w:t xml:space="preserve"> que </w:t>
      </w:r>
      <w:r>
        <w:rPr>
          <w:rFonts w:ascii="Arial" w:hAnsi="Arial" w:cs="Arial"/>
          <w:sz w:val="20"/>
          <w:szCs w:val="20"/>
          <w:highlight w:val="none"/>
        </w:rPr>
        <w:t>não está impedida de contratar com a Administração Pública, Direta e Indireta, assim como não foi declarada inidônea pelo Poder Público, de nenhuma esfera; e não existe fato impeditivo à nossa habilitação e contratação.</w:t>
      </w:r>
    </w:p>
    <w:p w14:paraId="375EA7A1">
      <w:pPr>
        <w:keepNext w:val="0"/>
        <w:keepLines w:val="0"/>
        <w:pageBreakBefore w:val="0"/>
        <w:widowControl/>
        <w:numPr>
          <w:ilvl w:val="0"/>
          <w:numId w:val="27"/>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rPr>
        <w:t xml:space="preserve"> </w:t>
      </w:r>
      <w:r>
        <w:rPr>
          <w:rFonts w:ascii="Arial" w:hAnsi="Arial" w:cs="Arial"/>
          <w:sz w:val="20"/>
          <w:szCs w:val="20"/>
          <w:highlight w:val="none"/>
        </w:rPr>
        <w:t>para fins do disposto no inciso V</w:t>
      </w:r>
      <w:r>
        <w:rPr>
          <w:rFonts w:ascii="Arial" w:hAnsi="Arial" w:cs="Arial"/>
          <w:sz w:val="20"/>
          <w:szCs w:val="20"/>
          <w:highlight w:val="none"/>
          <w:lang w:val="pt-BR"/>
        </w:rPr>
        <w:t>I</w:t>
      </w:r>
      <w:r>
        <w:rPr>
          <w:rFonts w:ascii="Arial" w:hAnsi="Arial" w:cs="Arial"/>
          <w:sz w:val="20"/>
          <w:szCs w:val="20"/>
          <w:highlight w:val="none"/>
        </w:rPr>
        <w:t xml:space="preserve"> do art </w:t>
      </w:r>
      <w:r>
        <w:rPr>
          <w:rFonts w:ascii="Arial" w:hAnsi="Arial" w:cs="Arial"/>
          <w:sz w:val="20"/>
          <w:szCs w:val="20"/>
          <w:highlight w:val="none"/>
          <w:lang w:val="pt-BR"/>
        </w:rPr>
        <w:t>68</w:t>
      </w:r>
      <w:r>
        <w:rPr>
          <w:rFonts w:ascii="Arial" w:hAnsi="Arial" w:cs="Arial"/>
          <w:sz w:val="20"/>
          <w:szCs w:val="20"/>
          <w:highlight w:val="none"/>
        </w:rPr>
        <w:t xml:space="preserve"> da Lei nº </w:t>
      </w:r>
      <w:r>
        <w:rPr>
          <w:rFonts w:ascii="Arial" w:hAnsi="Arial" w:cs="Arial"/>
          <w:sz w:val="20"/>
          <w:szCs w:val="20"/>
          <w:highlight w:val="none"/>
          <w:lang w:val="pt-BR"/>
        </w:rPr>
        <w:t>14.133</w:t>
      </w:r>
      <w:r>
        <w:rPr>
          <w:rFonts w:ascii="Arial" w:hAnsi="Arial" w:cs="Arial"/>
          <w:sz w:val="20"/>
          <w:szCs w:val="20"/>
          <w:highlight w:val="none"/>
        </w:rPr>
        <w:t xml:space="preserve">, de </w:t>
      </w:r>
      <w:r>
        <w:rPr>
          <w:rFonts w:ascii="Arial" w:hAnsi="Arial" w:cs="Arial"/>
          <w:sz w:val="20"/>
          <w:szCs w:val="20"/>
          <w:highlight w:val="none"/>
          <w:lang w:val="pt-BR"/>
        </w:rPr>
        <w:t>01 de abril de 2021</w:t>
      </w:r>
      <w:r>
        <w:rPr>
          <w:rFonts w:ascii="Arial" w:hAnsi="Arial" w:cs="Arial"/>
          <w:sz w:val="20"/>
          <w:szCs w:val="20"/>
          <w:highlight w:val="none"/>
        </w:rPr>
        <w:t xml:space="preserve">, </w:t>
      </w:r>
      <w:r>
        <w:rPr>
          <w:rFonts w:ascii="Arial" w:hAnsi="Arial" w:cs="Arial"/>
          <w:sz w:val="20"/>
          <w:szCs w:val="20"/>
          <w:highlight w:val="none"/>
          <w:lang w:val="pt-BR"/>
        </w:rPr>
        <w:t xml:space="preserve">em cumprimento o art. 7°, inciso XXXIII da CF/88, </w:t>
      </w:r>
      <w:r>
        <w:rPr>
          <w:rFonts w:ascii="Arial" w:hAnsi="Arial" w:cs="Arial"/>
          <w:sz w:val="20"/>
          <w:szCs w:val="20"/>
          <w:highlight w:val="none"/>
        </w:rPr>
        <w:t>que não emprega menor de dezoito anos em trabalho noturno, perigoso ou insalubre e não emprega menor de dezesseis anos.</w:t>
      </w:r>
      <w:r>
        <w:rPr>
          <w:rFonts w:hint="default" w:ascii="Arial" w:hAnsi="Arial" w:cs="Arial"/>
          <w:sz w:val="20"/>
          <w:szCs w:val="20"/>
          <w:highlight w:val="none"/>
          <w:lang w:val="pt-BR"/>
        </w:rPr>
        <w:t xml:space="preserve"> </w:t>
      </w:r>
      <w:r>
        <w:rPr>
          <w:rFonts w:hint="default" w:ascii="Arial" w:hAnsi="Arial" w:cs="Arial"/>
          <w:sz w:val="20"/>
          <w:szCs w:val="20"/>
        </w:rPr>
        <w:t>Ressalva: emprega menor, a partir de quatorze anos, na condição de aprendiz (       ).</w:t>
      </w:r>
    </w:p>
    <w:p w14:paraId="0A66B122">
      <w:pPr>
        <w:spacing w:line="200" w:lineRule="atLeast"/>
        <w:rPr>
          <w:rFonts w:ascii="Arial" w:hAnsi="Arial" w:cs="Arial"/>
          <w:i/>
          <w:iCs/>
          <w:sz w:val="20"/>
          <w:szCs w:val="20"/>
          <w:highlight w:val="none"/>
          <w:lang w:eastAsia="ar-SA"/>
        </w:rPr>
      </w:pPr>
    </w:p>
    <w:p w14:paraId="69FBEF85">
      <w:pPr>
        <w:pStyle w:val="328"/>
        <w:spacing w:before="0" w:after="0"/>
        <w:jc w:val="left"/>
        <w:rPr>
          <w:rFonts w:ascii="Arial" w:hAnsi="Arial"/>
          <w:sz w:val="20"/>
          <w:szCs w:val="20"/>
          <w:highlight w:val="none"/>
        </w:rPr>
      </w:pPr>
      <w:r>
        <w:rPr>
          <w:rFonts w:hint="default" w:ascii="Arial" w:hAnsi="Arial" w:cs="Arial"/>
          <w:sz w:val="20"/>
          <w:szCs w:val="20"/>
          <w:highlight w:val="none"/>
          <w:lang w:val="pt-BR"/>
        </w:rPr>
        <w:t xml:space="preserve">Data: _________________________ </w:t>
      </w:r>
      <w:r>
        <w:rPr>
          <w:rFonts w:ascii="Arial" w:hAnsi="Arial" w:cs="Arial"/>
          <w:sz w:val="20"/>
          <w:szCs w:val="20"/>
          <w:highlight w:val="none"/>
        </w:rPr>
        <w:t>de 20</w:t>
      </w:r>
      <w:r>
        <w:rPr>
          <w:rFonts w:ascii="Arial" w:hAnsi="Arial" w:cs="Arial"/>
          <w:sz w:val="20"/>
          <w:szCs w:val="20"/>
          <w:highlight w:val="none"/>
          <w:lang w:val="pt-BR"/>
        </w:rPr>
        <w:t>2</w:t>
      </w:r>
      <w:r>
        <w:rPr>
          <w:rFonts w:hint="default" w:ascii="Arial" w:hAnsi="Arial" w:cs="Arial"/>
          <w:sz w:val="20"/>
          <w:szCs w:val="20"/>
          <w:highlight w:val="none"/>
          <w:lang w:val="pt-BR"/>
        </w:rPr>
        <w:t>6</w:t>
      </w:r>
      <w:r>
        <w:rPr>
          <w:rFonts w:ascii="Arial" w:hAnsi="Arial" w:cs="Arial"/>
          <w:sz w:val="20"/>
          <w:szCs w:val="20"/>
          <w:highlight w:val="none"/>
          <w:lang w:val="pt-BR"/>
        </w:rPr>
        <w:t>.</w:t>
      </w:r>
    </w:p>
    <w:p w14:paraId="1D1BC9A2">
      <w:pPr>
        <w:pStyle w:val="328"/>
        <w:spacing w:before="0" w:after="0"/>
        <w:jc w:val="center"/>
        <w:rPr>
          <w:rFonts w:ascii="Arial" w:hAnsi="Arial" w:cs="Arial"/>
          <w:sz w:val="20"/>
          <w:szCs w:val="20"/>
          <w:highlight w:val="none"/>
        </w:rPr>
      </w:pPr>
    </w:p>
    <w:p w14:paraId="0F433A4B">
      <w:pPr>
        <w:pStyle w:val="328"/>
        <w:spacing w:before="0" w:after="0"/>
        <w:jc w:val="center"/>
        <w:rPr>
          <w:rFonts w:ascii="Arial" w:hAnsi="Arial" w:cs="Arial"/>
          <w:sz w:val="20"/>
          <w:szCs w:val="20"/>
          <w:highlight w:val="none"/>
        </w:rPr>
      </w:pPr>
    </w:p>
    <w:p w14:paraId="7EABD6D9">
      <w:pPr>
        <w:pStyle w:val="328"/>
        <w:spacing w:before="0" w:after="0"/>
        <w:jc w:val="center"/>
        <w:rPr>
          <w:rFonts w:ascii="Arial" w:hAnsi="Arial" w:cs="Arial"/>
          <w:sz w:val="20"/>
          <w:szCs w:val="20"/>
          <w:highlight w:val="none"/>
        </w:rPr>
      </w:pPr>
    </w:p>
    <w:p w14:paraId="188A52D6">
      <w:pPr>
        <w:pStyle w:val="328"/>
        <w:spacing w:before="0" w:after="0"/>
        <w:jc w:val="center"/>
        <w:rPr>
          <w:rFonts w:ascii="Arial" w:hAnsi="Arial"/>
          <w:sz w:val="20"/>
          <w:szCs w:val="20"/>
          <w:highlight w:val="none"/>
        </w:rPr>
      </w:pPr>
      <w:r>
        <w:rPr>
          <w:rFonts w:ascii="Arial" w:hAnsi="Arial" w:cs="Arial"/>
          <w:sz w:val="20"/>
          <w:szCs w:val="20"/>
          <w:highlight w:val="none"/>
        </w:rPr>
        <w:t>____________________________________</w:t>
      </w:r>
    </w:p>
    <w:p w14:paraId="795F9623">
      <w:pPr>
        <w:pStyle w:val="328"/>
        <w:spacing w:before="0" w:after="0"/>
        <w:jc w:val="center"/>
        <w:rPr>
          <w:rFonts w:ascii="Arial" w:hAnsi="Arial" w:cs="Arial"/>
          <w:b/>
          <w:bCs/>
          <w:sz w:val="26"/>
          <w:szCs w:val="26"/>
        </w:rPr>
      </w:pPr>
      <w:r>
        <w:rPr>
          <w:rFonts w:ascii="Arial" w:hAnsi="Arial" w:cs="Arial"/>
          <w:sz w:val="20"/>
          <w:szCs w:val="20"/>
          <w:highlight w:val="none"/>
        </w:rPr>
        <w:t>Ass. Responsável</w:t>
      </w:r>
    </w:p>
    <w:p w14:paraId="454D03E8">
      <w:pPr>
        <w:jc w:val="center"/>
        <w:rPr>
          <w:rFonts w:ascii="Arial" w:hAnsi="Arial" w:cs="Arial"/>
          <w:b/>
          <w:bCs/>
          <w:sz w:val="26"/>
          <w:szCs w:val="26"/>
        </w:rPr>
      </w:pPr>
    </w:p>
    <w:p w14:paraId="25E352B3">
      <w:pPr>
        <w:ind w:firstLine="567"/>
        <w:jc w:val="center"/>
        <w:rPr>
          <w:rFonts w:ascii="Arial" w:hAnsi="Arial" w:cs="Arial"/>
          <w:b/>
          <w:bCs/>
          <w:sz w:val="20"/>
          <w:szCs w:val="20"/>
        </w:rPr>
      </w:pPr>
    </w:p>
    <w:p w14:paraId="2612534C">
      <w:pPr>
        <w:jc w:val="both"/>
        <w:rPr>
          <w:rFonts w:ascii="Arial" w:hAnsi="Arial" w:cs="Arial"/>
          <w:b/>
          <w:bCs/>
          <w:sz w:val="26"/>
          <w:szCs w:val="26"/>
        </w:rPr>
      </w:pPr>
    </w:p>
    <w:p w14:paraId="18B2DEBC">
      <w:pPr>
        <w:jc w:val="center"/>
        <w:rPr>
          <w:rFonts w:ascii="Arial" w:hAnsi="Arial" w:cs="Arial"/>
          <w:b/>
          <w:bCs/>
          <w:sz w:val="30"/>
          <w:szCs w:val="30"/>
        </w:rPr>
      </w:pPr>
    </w:p>
    <w:p w14:paraId="5B669858">
      <w:pPr>
        <w:jc w:val="center"/>
        <w:rPr>
          <w:rFonts w:ascii="Arial" w:hAnsi="Arial" w:cs="Arial"/>
          <w:b/>
          <w:bCs/>
          <w:sz w:val="30"/>
          <w:szCs w:val="30"/>
        </w:rPr>
      </w:pPr>
      <w:r>
        <w:rPr>
          <w:rFonts w:ascii="Arial" w:hAnsi="Arial" w:cs="Arial"/>
          <w:b/>
          <w:bCs/>
          <w:sz w:val="30"/>
          <w:szCs w:val="30"/>
        </w:rPr>
        <w:t>ANEXO V</w:t>
      </w:r>
    </w:p>
    <w:p w14:paraId="0179F930">
      <w:pPr>
        <w:jc w:val="both"/>
        <w:rPr>
          <w:rFonts w:hint="default" w:ascii="Arial" w:hAnsi="Arial" w:cs="Arial"/>
          <w:b/>
          <w:bCs/>
          <w:sz w:val="20"/>
          <w:szCs w:val="20"/>
        </w:rPr>
      </w:pPr>
    </w:p>
    <w:p w14:paraId="40C6E9BE">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010/2026</w:t>
      </w:r>
    </w:p>
    <w:p w14:paraId="5CFA2D2C">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004/2026</w:t>
      </w:r>
    </w:p>
    <w:p w14:paraId="6B534C59">
      <w:pPr>
        <w:spacing w:line="200" w:lineRule="atLeast"/>
        <w:jc w:val="center"/>
        <w:rPr>
          <w:rFonts w:hint="default" w:ascii="Arial" w:hAnsi="Arial" w:cs="Arial"/>
          <w:b/>
          <w:sz w:val="20"/>
          <w:szCs w:val="20"/>
          <w:lang w:val="pt-BR" w:eastAsia="ar-SA"/>
        </w:rPr>
      </w:pPr>
      <w:r>
        <w:rPr>
          <w:rFonts w:hint="default" w:ascii="Arial" w:hAnsi="Arial" w:cs="Arial"/>
          <w:b/>
          <w:sz w:val="20"/>
          <w:szCs w:val="20"/>
          <w:lang w:val="pt-BR" w:eastAsia="ar-SA"/>
        </w:rPr>
        <w:t>REGISTRO DE PREÇOS N° 004/2026</w:t>
      </w:r>
    </w:p>
    <w:p w14:paraId="65C91BB6">
      <w:pPr>
        <w:ind w:left="-284" w:firstLine="284"/>
        <w:jc w:val="both"/>
        <w:rPr>
          <w:rFonts w:hint="default" w:ascii="Arial" w:hAnsi="Arial" w:cs="Arial" w:eastAsiaTheme="minorHAnsi"/>
          <w:sz w:val="20"/>
          <w:szCs w:val="20"/>
        </w:rPr>
      </w:pPr>
    </w:p>
    <w:p w14:paraId="4967E674">
      <w:pPr>
        <w:autoSpaceDE w:val="0"/>
        <w:autoSpaceDN w:val="0"/>
        <w:adjustRightInd w:val="0"/>
        <w:jc w:val="center"/>
        <w:rPr>
          <w:rFonts w:ascii="Arial" w:hAnsi="Arial" w:cs="Arial"/>
          <w:b/>
          <w:bCs/>
          <w:sz w:val="20"/>
          <w:szCs w:val="20"/>
        </w:rPr>
      </w:pPr>
    </w:p>
    <w:p w14:paraId="592C4B4A">
      <w:pPr>
        <w:autoSpaceDE w:val="0"/>
        <w:autoSpaceDN w:val="0"/>
        <w:adjustRightInd w:val="0"/>
        <w:jc w:val="center"/>
        <w:rPr>
          <w:rFonts w:ascii="Arial" w:hAnsi="Arial" w:cs="Arial"/>
          <w:b/>
          <w:sz w:val="20"/>
          <w:szCs w:val="20"/>
          <w:shd w:val="clear" w:color="auto" w:fill="FFFFFF"/>
        </w:rPr>
      </w:pPr>
      <w:r>
        <w:rPr>
          <w:rFonts w:ascii="Arial" w:hAnsi="Arial" w:cs="Arial" w:eastAsiaTheme="minorHAnsi"/>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14:paraId="5F4C6245">
      <w:pPr>
        <w:autoSpaceDE w:val="0"/>
        <w:autoSpaceDN w:val="0"/>
        <w:adjustRightInd w:val="0"/>
        <w:jc w:val="both"/>
        <w:rPr>
          <w:rFonts w:ascii="Arial" w:hAnsi="Arial" w:cs="Arial"/>
          <w:color w:val="000000"/>
          <w:sz w:val="20"/>
          <w:szCs w:val="20"/>
        </w:rPr>
      </w:pPr>
    </w:p>
    <w:p w14:paraId="631FFCEB">
      <w:pPr>
        <w:autoSpaceDE w:val="0"/>
        <w:autoSpaceDN w:val="0"/>
        <w:adjustRightInd w:val="0"/>
        <w:jc w:val="both"/>
        <w:rPr>
          <w:rFonts w:ascii="Arial" w:hAnsi="Arial" w:cs="Arial"/>
          <w:color w:val="000000"/>
          <w:sz w:val="20"/>
          <w:szCs w:val="20"/>
        </w:rPr>
      </w:pPr>
    </w:p>
    <w:p w14:paraId="469BAE28">
      <w:pPr>
        <w:autoSpaceDE w:val="0"/>
        <w:autoSpaceDN w:val="0"/>
        <w:adjustRightInd w:val="0"/>
        <w:jc w:val="both"/>
        <w:rPr>
          <w:rFonts w:ascii="Arial" w:hAnsi="Arial" w:cs="Arial"/>
          <w:color w:val="000000"/>
          <w:sz w:val="20"/>
          <w:szCs w:val="20"/>
        </w:rPr>
      </w:pPr>
    </w:p>
    <w:p w14:paraId="51732C63">
      <w:pPr>
        <w:autoSpaceDE w:val="0"/>
        <w:autoSpaceDN w:val="0"/>
        <w:adjustRightInd w:val="0"/>
        <w:jc w:val="both"/>
        <w:rPr>
          <w:rFonts w:ascii="Arial" w:hAnsi="Arial" w:cs="Arial"/>
          <w:color w:val="000000"/>
          <w:sz w:val="20"/>
          <w:szCs w:val="20"/>
        </w:rPr>
      </w:pPr>
    </w:p>
    <w:p w14:paraId="79B253F0">
      <w:pPr>
        <w:autoSpaceDE w:val="0"/>
        <w:autoSpaceDN w:val="0"/>
        <w:adjustRightInd w:val="0"/>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14:paraId="73D491E8">
      <w:pPr>
        <w:rPr>
          <w:rFonts w:ascii="Arial" w:hAnsi="Arial" w:cs="Arial"/>
          <w:b/>
          <w:bCs/>
          <w:sz w:val="20"/>
          <w:szCs w:val="20"/>
        </w:rPr>
      </w:pPr>
    </w:p>
    <w:p w14:paraId="4F8EDE80">
      <w:pPr>
        <w:rPr>
          <w:rFonts w:ascii="Arial" w:hAnsi="Arial" w:cs="Arial"/>
          <w:b/>
          <w:bCs/>
          <w:sz w:val="20"/>
          <w:szCs w:val="20"/>
        </w:rPr>
      </w:pPr>
    </w:p>
    <w:p w14:paraId="6B085049">
      <w:pPr>
        <w:autoSpaceDE w:val="0"/>
        <w:autoSpaceDN w:val="0"/>
        <w:adjustRightInd w:val="0"/>
        <w:jc w:val="both"/>
        <w:outlineLvl w:val="0"/>
        <w:rPr>
          <w:rFonts w:ascii="Arial" w:hAnsi="Arial" w:cs="Arial"/>
          <w:color w:val="000000"/>
          <w:sz w:val="20"/>
          <w:szCs w:val="20"/>
        </w:rPr>
      </w:pPr>
    </w:p>
    <w:p w14:paraId="1E8E9A70">
      <w:pPr>
        <w:autoSpaceDE w:val="0"/>
        <w:autoSpaceDN w:val="0"/>
        <w:adjustRightInd w:val="0"/>
        <w:jc w:val="both"/>
        <w:outlineLvl w:val="0"/>
        <w:rPr>
          <w:rFonts w:ascii="Arial" w:hAnsi="Arial" w:cs="Arial"/>
          <w:color w:val="000000"/>
          <w:sz w:val="20"/>
          <w:szCs w:val="20"/>
        </w:rPr>
      </w:pPr>
      <w:r>
        <w:rPr>
          <w:rFonts w:ascii="Arial" w:hAnsi="Arial" w:cs="Arial"/>
          <w:color w:val="000000"/>
          <w:sz w:val="20"/>
          <w:szCs w:val="20"/>
        </w:rPr>
        <w:t>À</w:t>
      </w:r>
    </w:p>
    <w:p w14:paraId="5FF62723">
      <w:pPr>
        <w:autoSpaceDE w:val="0"/>
        <w:autoSpaceDN w:val="0"/>
        <w:adjustRightInd w:val="0"/>
        <w:jc w:val="both"/>
        <w:rPr>
          <w:rFonts w:ascii="Arial" w:hAnsi="Arial" w:cs="Arial"/>
          <w:color w:val="000000"/>
          <w:sz w:val="20"/>
          <w:szCs w:val="20"/>
        </w:rPr>
      </w:pPr>
      <w:r>
        <w:rPr>
          <w:rFonts w:ascii="Arial" w:hAnsi="Arial" w:cs="Arial"/>
          <w:color w:val="000000"/>
          <w:sz w:val="20"/>
          <w:szCs w:val="20"/>
        </w:rPr>
        <w:t>Prefeitura do Município de Cataguases</w:t>
      </w:r>
    </w:p>
    <w:p w14:paraId="1AEDCEE3">
      <w:pPr>
        <w:autoSpaceDE w:val="0"/>
        <w:autoSpaceDN w:val="0"/>
        <w:adjustRightInd w:val="0"/>
        <w:ind w:firstLine="708"/>
        <w:jc w:val="both"/>
        <w:rPr>
          <w:rFonts w:ascii="Arial" w:hAnsi="Arial" w:cs="Arial" w:eastAsiaTheme="minorHAnsi"/>
          <w:sz w:val="20"/>
          <w:szCs w:val="20"/>
        </w:rPr>
      </w:pPr>
      <w:r>
        <w:rPr>
          <w:rFonts w:ascii="Arial" w:hAnsi="Arial" w:cs="Arial" w:eastAsiaTheme="minorHAnsi"/>
          <w:sz w:val="20"/>
          <w:szCs w:val="20"/>
        </w:rPr>
        <w:t xml:space="preserve">................................................................................, inscrito no CNPJ nº ..........................., por intermédio de seu representante legal o(a) Sr(a) .................................................................., portador(a) da Carteira de Identidade nº ................................ 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59EB88D3">
      <w:pPr>
        <w:autoSpaceDE w:val="0"/>
        <w:autoSpaceDN w:val="0"/>
        <w:adjustRightInd w:val="0"/>
        <w:jc w:val="both"/>
        <w:rPr>
          <w:rFonts w:ascii="Arial" w:hAnsi="Arial" w:cs="Arial" w:eastAsiaTheme="minorHAnsi"/>
          <w:sz w:val="20"/>
          <w:szCs w:val="20"/>
        </w:rPr>
      </w:pPr>
    </w:p>
    <w:p w14:paraId="47EF5E5C">
      <w:pPr>
        <w:autoSpaceDE w:val="0"/>
        <w:autoSpaceDN w:val="0"/>
        <w:adjustRightInd w:val="0"/>
        <w:jc w:val="both"/>
        <w:rPr>
          <w:rFonts w:ascii="Arial" w:hAnsi="Arial" w:cs="Arial" w:eastAsiaTheme="minorHAnsi"/>
          <w:sz w:val="20"/>
          <w:szCs w:val="20"/>
        </w:rPr>
      </w:pPr>
    </w:p>
    <w:p w14:paraId="502C40B1">
      <w:pPr>
        <w:autoSpaceDE w:val="0"/>
        <w:autoSpaceDN w:val="0"/>
        <w:adjustRightInd w:val="0"/>
        <w:jc w:val="both"/>
        <w:rPr>
          <w:rFonts w:ascii="Arial" w:hAnsi="Arial" w:cs="Arial" w:eastAsiaTheme="minorHAnsi"/>
          <w:sz w:val="20"/>
          <w:szCs w:val="20"/>
        </w:rPr>
      </w:pPr>
    </w:p>
    <w:p w14:paraId="5E3478F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3371C98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(data)</w:t>
      </w:r>
    </w:p>
    <w:p w14:paraId="25DAB039">
      <w:pPr>
        <w:autoSpaceDE w:val="0"/>
        <w:autoSpaceDN w:val="0"/>
        <w:adjustRightInd w:val="0"/>
        <w:jc w:val="center"/>
        <w:rPr>
          <w:rFonts w:ascii="Arial" w:hAnsi="Arial" w:cs="Arial" w:eastAsiaTheme="minorHAnsi"/>
          <w:sz w:val="20"/>
          <w:szCs w:val="20"/>
        </w:rPr>
      </w:pPr>
    </w:p>
    <w:p w14:paraId="786A688D">
      <w:pPr>
        <w:autoSpaceDE w:val="0"/>
        <w:autoSpaceDN w:val="0"/>
        <w:adjustRightInd w:val="0"/>
        <w:jc w:val="center"/>
        <w:rPr>
          <w:rFonts w:ascii="Arial" w:hAnsi="Arial" w:cs="Arial" w:eastAsiaTheme="minorHAnsi"/>
          <w:sz w:val="20"/>
          <w:szCs w:val="20"/>
        </w:rPr>
      </w:pPr>
    </w:p>
    <w:p w14:paraId="2491045B">
      <w:pPr>
        <w:autoSpaceDE w:val="0"/>
        <w:autoSpaceDN w:val="0"/>
        <w:adjustRightInd w:val="0"/>
        <w:jc w:val="center"/>
        <w:rPr>
          <w:rFonts w:ascii="Arial" w:hAnsi="Arial" w:cs="Arial" w:eastAsiaTheme="minorHAnsi"/>
          <w:sz w:val="20"/>
          <w:szCs w:val="20"/>
        </w:rPr>
      </w:pPr>
    </w:p>
    <w:p w14:paraId="7C60F23E">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5888DCDA">
      <w:pPr>
        <w:autoSpaceDE w:val="0"/>
        <w:autoSpaceDN w:val="0"/>
        <w:adjustRightInd w:val="0"/>
        <w:jc w:val="center"/>
        <w:rPr>
          <w:rFonts w:ascii="Arial" w:hAnsi="Arial" w:cs="Arial"/>
          <w:color w:val="000000"/>
          <w:sz w:val="20"/>
          <w:szCs w:val="20"/>
        </w:rPr>
      </w:pPr>
      <w:r>
        <w:rPr>
          <w:rFonts w:ascii="Arial" w:hAnsi="Arial" w:cs="Arial" w:eastAsiaTheme="minorHAnsi"/>
          <w:sz w:val="20"/>
          <w:szCs w:val="20"/>
        </w:rPr>
        <w:t>(assinatura do representante legal)</w:t>
      </w:r>
    </w:p>
    <w:p w14:paraId="538CB206">
      <w:pPr>
        <w:autoSpaceDE w:val="0"/>
        <w:autoSpaceDN w:val="0"/>
        <w:adjustRightInd w:val="0"/>
        <w:jc w:val="center"/>
        <w:rPr>
          <w:rFonts w:ascii="Arial" w:hAnsi="Arial" w:cs="Arial"/>
          <w:b/>
          <w:bCs/>
          <w:sz w:val="32"/>
          <w:szCs w:val="32"/>
        </w:rPr>
      </w:pPr>
    </w:p>
    <w:p w14:paraId="3269FBF7">
      <w:pPr>
        <w:ind w:left="-284" w:firstLine="284"/>
        <w:jc w:val="both"/>
        <w:rPr>
          <w:rFonts w:ascii="Arial" w:hAnsi="Arial" w:cs="Arial" w:eastAsiaTheme="minorHAnsi"/>
          <w:sz w:val="20"/>
          <w:szCs w:val="20"/>
        </w:rPr>
      </w:pPr>
    </w:p>
    <w:p w14:paraId="4E35111A">
      <w:pPr>
        <w:ind w:left="-284" w:firstLine="284"/>
        <w:jc w:val="both"/>
        <w:rPr>
          <w:rFonts w:ascii="Arial" w:hAnsi="Arial" w:cs="Arial" w:eastAsiaTheme="minorHAnsi"/>
          <w:sz w:val="20"/>
          <w:szCs w:val="20"/>
        </w:rPr>
      </w:pPr>
    </w:p>
    <w:sectPr>
      <w:headerReference r:id="rId3" w:type="default"/>
      <w:footerReference r:id="rId4" w:type="default"/>
      <w:pgSz w:w="11907" w:h="16840"/>
      <w:pgMar w:top="984" w:right="993" w:bottom="1276" w:left="992" w:header="0" w:footer="0"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cofont_spranq_eco_sans">
    <w:altName w:val="Times New Roman"/>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DejaVu Sans">
    <w:altName w:val="Segoe Print"/>
    <w:panose1 w:val="020B0603030804020204"/>
    <w:charset w:val="00"/>
    <w:family w:val="swiss"/>
    <w:pitch w:val="default"/>
    <w:sig w:usb0="00000000" w:usb1="00000000" w:usb2="0A246029" w:usb3="0400200C" w:csb0="600001FF" w:csb1="DFFF0000"/>
  </w:font>
  <w:font w:name="ArialMT;Times New Roman">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LiberationSerif-Bold">
    <w:altName w:val="Cambria"/>
    <w:panose1 w:val="00000000000000000000"/>
    <w:charset w:val="00"/>
    <w:family w:val="roman"/>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Arial-BoldMT">
    <w:altName w:val="Arial"/>
    <w:panose1 w:val="00000000000000000000"/>
    <w:charset w:val="00"/>
    <w:family w:val="auto"/>
    <w:pitch w:val="default"/>
    <w:sig w:usb0="00000000" w:usb1="00000000" w:usb2="00000000" w:usb3="00000000" w:csb0="00000001" w:csb1="00000000"/>
  </w:font>
  <w:font w:name="Segoe UI">
    <w:panose1 w:val="020B0502040204020203"/>
    <w:charset w:val="00"/>
    <w:family w:val="auto"/>
    <w:pitch w:val="default"/>
    <w:sig w:usb0="E4002EFF" w:usb1="C000E47F" w:usb2="00000009" w:usb3="00000000" w:csb0="200001F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25CD">
    <w:pPr>
      <w:spacing w:before="12"/>
      <w:ind w:left="5" w:right="1"/>
      <w:jc w:val="center"/>
      <w:rPr>
        <w:rFonts w:hint="default" w:ascii="Arial" w:hAnsi="Arial" w:cs="Arial"/>
        <w:sz w:val="18"/>
        <w:szCs w:val="18"/>
      </w:rPr>
    </w:pPr>
    <w:r>
      <w:rPr>
        <w:rFonts w:hint="default" w:ascii="Arial" w:hAnsi="Arial" w:cs="Arial"/>
        <w:sz w:val="18"/>
        <w:szCs w:val="18"/>
      </w:rPr>
      <w:t>Praça Santa Rita, 462–Centro, Cataguases-MG, CEP:36771-020</w:t>
    </w:r>
  </w:p>
  <w:p w14:paraId="1B04B01A">
    <w:pPr>
      <w:pStyle w:val="201"/>
      <w:jc w:val="center"/>
      <w:rPr>
        <w:rFonts w:hint="default" w:ascii="Arial" w:hAnsi="Arial" w:cs="Arial"/>
        <w:sz w:val="18"/>
        <w:szCs w:val="18"/>
      </w:rPr>
    </w:pPr>
    <w:r>
      <w:rPr>
        <w:rFonts w:hint="default" w:ascii="Arial" w:hAnsi="Arial" w:cs="Arial"/>
        <w:sz w:val="18"/>
        <w:szCs w:val="18"/>
      </w:rPr>
      <w:t xml:space="preserve">Telefone: 32 3429-2500, email: </w:t>
    </w:r>
    <w:r>
      <w:rPr>
        <w:rFonts w:hint="default" w:ascii="Arial" w:hAnsi="Arial" w:cs="Arial"/>
        <w:sz w:val="18"/>
        <w:szCs w:val="18"/>
      </w:rPr>
      <w:fldChar w:fldCharType="begin"/>
    </w:r>
    <w:r>
      <w:rPr>
        <w:rFonts w:hint="default" w:ascii="Arial" w:hAnsi="Arial" w:cs="Arial"/>
        <w:sz w:val="18"/>
        <w:szCs w:val="18"/>
      </w:rPr>
      <w:instrText xml:space="preserve"> HYPERLINK "mailto:pregaocataguases@gmail.com" </w:instrText>
    </w:r>
    <w:r>
      <w:rPr>
        <w:rFonts w:hint="default" w:ascii="Arial" w:hAnsi="Arial" w:cs="Arial"/>
        <w:sz w:val="18"/>
        <w:szCs w:val="18"/>
      </w:rPr>
      <w:fldChar w:fldCharType="separate"/>
    </w:r>
    <w:r>
      <w:rPr>
        <w:rStyle w:val="11"/>
        <w:rFonts w:hint="default" w:ascii="Arial" w:hAnsi="Arial" w:cs="Arial"/>
        <w:sz w:val="18"/>
        <w:szCs w:val="18"/>
      </w:rPr>
      <w:t>pregaocataguases@gmail.com</w:t>
    </w:r>
    <w:r>
      <w:rPr>
        <w:rFonts w:hint="default" w:ascii="Arial" w:hAnsi="Arial" w:cs="Arial"/>
        <w:sz w:val="18"/>
        <w:szCs w:val="18"/>
      </w:rPr>
      <w:fldChar w:fldCharType="end"/>
    </w:r>
  </w:p>
  <w:p w14:paraId="69FBC8A7">
    <w:pPr>
      <w:pStyle w:val="201"/>
      <w:jc w:val="center"/>
      <w:rPr>
        <w:rFonts w:hint="default" w:ascii="Arial" w:hAnsi="Arial" w:cs="Arial"/>
        <w:sz w:val="18"/>
        <w:szCs w:val="18"/>
        <w:lang w:val="pt-BR"/>
      </w:rPr>
    </w:pPr>
    <w:r>
      <w:rPr>
        <w:rFonts w:hint="default" w:ascii="Arial" w:hAnsi="Arial" w:cs="Arial"/>
        <w:sz w:val="18"/>
        <w:szCs w:val="18"/>
        <w:lang w:val="pt-BR"/>
      </w:rPr>
      <w:t>Pregão eletrônico n° 004/2026</w:t>
    </w:r>
  </w:p>
  <w:p w14:paraId="021662C9">
    <w:pPr>
      <w:pStyle w:val="201"/>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5997FA43">
    <w:pPr>
      <w:pStyle w:val="201"/>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61B9">
    <w:pPr>
      <w:pStyle w:val="199"/>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2E88300A">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2E88300A">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43F097"/>
    <w:multiLevelType w:val="singleLevel"/>
    <w:tmpl w:val="9B43F097"/>
    <w:lvl w:ilvl="0" w:tentative="0">
      <w:start w:val="1"/>
      <w:numFmt w:val="bullet"/>
      <w:lvlText w:val="•"/>
      <w:lvlJc w:val="left"/>
      <w:pPr>
        <w:tabs>
          <w:tab w:val="left" w:pos="420"/>
        </w:tabs>
        <w:ind w:left="420" w:leftChars="0" w:hanging="420" w:firstLineChars="0"/>
      </w:pPr>
      <w:rPr>
        <w:rFonts w:hint="default" w:ascii="Arial" w:hAnsi="Arial" w:cs="Arial"/>
      </w:rPr>
    </w:lvl>
  </w:abstractNum>
  <w:abstractNum w:abstractNumId="1">
    <w:nsid w:val="A4B81797"/>
    <w:multiLevelType w:val="singleLevel"/>
    <w:tmpl w:val="A4B81797"/>
    <w:lvl w:ilvl="0" w:tentative="0">
      <w:start w:val="1"/>
      <w:numFmt w:val="lowerLetter"/>
      <w:lvlText w:val="%1)"/>
      <w:lvlJc w:val="left"/>
      <w:pPr>
        <w:tabs>
          <w:tab w:val="left" w:pos="425"/>
        </w:tabs>
        <w:ind w:left="425" w:leftChars="0" w:hanging="425" w:firstLineChars="0"/>
      </w:pPr>
      <w:rPr>
        <w:rFonts w:hint="default"/>
      </w:rPr>
    </w:lvl>
  </w:abstractNum>
  <w:abstractNum w:abstractNumId="2">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3">
    <w:nsid w:val="09A22EE4"/>
    <w:multiLevelType w:val="multilevel"/>
    <w:tmpl w:val="09A22EE4"/>
    <w:lvl w:ilvl="0" w:tentative="0">
      <w:start w:val="12"/>
      <w:numFmt w:val="decimal"/>
      <w:lvlText w:val="%1."/>
      <w:lvlJc w:val="left"/>
      <w:pPr>
        <w:ind w:left="408" w:hanging="360"/>
      </w:pPr>
      <w:rPr>
        <w:rFonts w:hint="default"/>
      </w:rPr>
    </w:lvl>
    <w:lvl w:ilvl="1" w:tentative="0">
      <w:start w:val="1"/>
      <w:numFmt w:val="decimal"/>
      <w:isLgl/>
      <w:lvlText w:val="%1.%2"/>
      <w:lvlJc w:val="left"/>
      <w:pPr>
        <w:ind w:left="432" w:hanging="384"/>
      </w:pPr>
      <w:rPr>
        <w:rFonts w:hint="default" w:ascii="Arial" w:hAnsi="Arial" w:cs="Arial"/>
        <w:b w:val="0"/>
        <w:i w:val="0"/>
        <w:color w:val="auto"/>
        <w:sz w:val="18"/>
        <w:szCs w:val="18"/>
      </w:rPr>
    </w:lvl>
    <w:lvl w:ilvl="2" w:tentative="0">
      <w:start w:val="1"/>
      <w:numFmt w:val="decimal"/>
      <w:isLgl/>
      <w:lvlText w:val="%1.%2.%3"/>
      <w:lvlJc w:val="left"/>
      <w:pPr>
        <w:ind w:left="768" w:hanging="720"/>
      </w:pPr>
      <w:rPr>
        <w:rFonts w:hint="default"/>
        <w:b w:val="0"/>
      </w:rPr>
    </w:lvl>
    <w:lvl w:ilvl="3" w:tentative="0">
      <w:start w:val="1"/>
      <w:numFmt w:val="decimal"/>
      <w:isLgl/>
      <w:lvlText w:val="%1.%2.%3.%4"/>
      <w:lvlJc w:val="left"/>
      <w:pPr>
        <w:ind w:left="768" w:hanging="720"/>
      </w:pPr>
      <w:rPr>
        <w:rFonts w:hint="default"/>
        <w:b w:val="0"/>
      </w:rPr>
    </w:lvl>
    <w:lvl w:ilvl="4" w:tentative="0">
      <w:start w:val="1"/>
      <w:numFmt w:val="decimal"/>
      <w:isLgl/>
      <w:lvlText w:val="%1.%2.%3.%4.%5"/>
      <w:lvlJc w:val="left"/>
      <w:pPr>
        <w:ind w:left="1128" w:hanging="1080"/>
      </w:pPr>
      <w:rPr>
        <w:rFonts w:hint="default"/>
        <w:b w:val="0"/>
      </w:rPr>
    </w:lvl>
    <w:lvl w:ilvl="5" w:tentative="0">
      <w:start w:val="1"/>
      <w:numFmt w:val="decimal"/>
      <w:isLgl/>
      <w:lvlText w:val="%1.%2.%3.%4.%5.%6"/>
      <w:lvlJc w:val="left"/>
      <w:pPr>
        <w:ind w:left="1128" w:hanging="1080"/>
      </w:pPr>
      <w:rPr>
        <w:rFonts w:hint="default"/>
        <w:b w:val="0"/>
      </w:rPr>
    </w:lvl>
    <w:lvl w:ilvl="6" w:tentative="0">
      <w:start w:val="1"/>
      <w:numFmt w:val="decimal"/>
      <w:isLgl/>
      <w:lvlText w:val="%1.%2.%3.%4.%5.%6.%7"/>
      <w:lvlJc w:val="left"/>
      <w:pPr>
        <w:ind w:left="1488" w:hanging="1440"/>
      </w:pPr>
      <w:rPr>
        <w:rFonts w:hint="default"/>
        <w:b w:val="0"/>
      </w:rPr>
    </w:lvl>
    <w:lvl w:ilvl="7" w:tentative="0">
      <w:start w:val="1"/>
      <w:numFmt w:val="decimal"/>
      <w:isLgl/>
      <w:lvlText w:val="%1.%2.%3.%4.%5.%6.%7.%8"/>
      <w:lvlJc w:val="left"/>
      <w:pPr>
        <w:ind w:left="1488" w:hanging="1440"/>
      </w:pPr>
      <w:rPr>
        <w:rFonts w:hint="default"/>
        <w:b w:val="0"/>
      </w:rPr>
    </w:lvl>
    <w:lvl w:ilvl="8" w:tentative="0">
      <w:start w:val="1"/>
      <w:numFmt w:val="decimal"/>
      <w:isLgl/>
      <w:lvlText w:val="%1.%2.%3.%4.%5.%6.%7.%8.%9"/>
      <w:lvlJc w:val="left"/>
      <w:pPr>
        <w:ind w:left="1848" w:hanging="1800"/>
      </w:pPr>
      <w:rPr>
        <w:rFonts w:hint="default"/>
        <w:b w:val="0"/>
      </w:rPr>
    </w:lvl>
  </w:abstractNum>
  <w:abstractNum w:abstractNumId="4">
    <w:nsid w:val="10B949CE"/>
    <w:multiLevelType w:val="multilevel"/>
    <w:tmpl w:val="10B949CE"/>
    <w:lvl w:ilvl="0" w:tentative="0">
      <w:start w:val="1"/>
      <w:numFmt w:val="decimal"/>
      <w:lvlText w:val="%1."/>
      <w:lvlJc w:val="left"/>
      <w:pPr>
        <w:ind w:left="720" w:hanging="360"/>
      </w:pPr>
      <w:rPr>
        <w:rFonts w:hint="default"/>
      </w:rPr>
    </w:lvl>
    <w:lvl w:ilvl="1" w:tentative="0">
      <w:start w:val="1"/>
      <w:numFmt w:val="decimal"/>
      <w:isLgl/>
      <w:lvlText w:val="%1.%2"/>
      <w:lvlJc w:val="left"/>
      <w:pPr>
        <w:ind w:left="732" w:hanging="372"/>
      </w:pPr>
      <w:rPr>
        <w:rFonts w:hint="default"/>
        <w:b w:val="0"/>
        <w:bCs/>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5">
    <w:nsid w:val="2019089D"/>
    <w:multiLevelType w:val="multilevel"/>
    <w:tmpl w:val="2019089D"/>
    <w:lvl w:ilvl="0" w:tentative="0">
      <w:start w:val="1"/>
      <w:numFmt w:val="decimal"/>
      <w:lvlText w:val="%1."/>
      <w:lvlJc w:val="left"/>
      <w:pPr>
        <w:ind w:left="360" w:hanging="360"/>
      </w:pPr>
      <w:rPr>
        <w:b/>
        <w:color w:val="auto"/>
      </w:rPr>
    </w:lvl>
    <w:lvl w:ilvl="1" w:tentative="0">
      <w:start w:val="1"/>
      <w:numFmt w:val="decimal"/>
      <w:lvlText w:val="9.%2"/>
      <w:lvlJc w:val="left"/>
      <w:pPr>
        <w:ind w:left="1211" w:hanging="360"/>
      </w:pPr>
      <w:rPr>
        <w:rFonts w:hint="default"/>
        <w:b w:val="0"/>
        <w:bCs w:val="0"/>
      </w:rPr>
    </w:lvl>
    <w:lvl w:ilvl="2" w:tentative="0">
      <w:start w:val="1"/>
      <w:numFmt w:val="decimal"/>
      <w:lvlText w:val="%1.%2.%3."/>
      <w:lvlJc w:val="left"/>
      <w:pPr>
        <w:ind w:left="1497" w:hanging="504"/>
      </w:pPr>
      <w:rPr>
        <w:rFonts w:hint="default"/>
        <w:b w:val="0"/>
        <w:bCs w:val="0"/>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3E17CD5"/>
    <w:multiLevelType w:val="multilevel"/>
    <w:tmpl w:val="33E17CD5"/>
    <w:lvl w:ilvl="0" w:tentative="0">
      <w:start w:val="1"/>
      <w:numFmt w:val="bullet"/>
      <w:lvlText w:val=""/>
      <w:lvlJc w:val="left"/>
      <w:pPr>
        <w:ind w:left="153" w:hanging="360"/>
      </w:pPr>
      <w:rPr>
        <w:rFonts w:hint="default" w:ascii="Wingdings" w:hAnsi="Wingdings"/>
      </w:rPr>
    </w:lvl>
    <w:lvl w:ilvl="1" w:tentative="0">
      <w:start w:val="1"/>
      <w:numFmt w:val="bullet"/>
      <w:lvlText w:val="o"/>
      <w:lvlJc w:val="left"/>
      <w:pPr>
        <w:ind w:left="873" w:hanging="360"/>
      </w:pPr>
      <w:rPr>
        <w:rFonts w:hint="default" w:ascii="Courier New" w:hAnsi="Courier New" w:cs="Courier New"/>
      </w:rPr>
    </w:lvl>
    <w:lvl w:ilvl="2" w:tentative="0">
      <w:start w:val="1"/>
      <w:numFmt w:val="bullet"/>
      <w:lvlText w:val=""/>
      <w:lvlJc w:val="left"/>
      <w:pPr>
        <w:ind w:left="1593" w:hanging="360"/>
      </w:pPr>
      <w:rPr>
        <w:rFonts w:hint="default" w:ascii="Wingdings" w:hAnsi="Wingdings"/>
      </w:rPr>
    </w:lvl>
    <w:lvl w:ilvl="3" w:tentative="0">
      <w:start w:val="1"/>
      <w:numFmt w:val="bullet"/>
      <w:lvlText w:val=""/>
      <w:lvlJc w:val="left"/>
      <w:pPr>
        <w:ind w:left="2313" w:hanging="360"/>
      </w:pPr>
      <w:rPr>
        <w:rFonts w:hint="default" w:ascii="Symbol" w:hAnsi="Symbol"/>
      </w:rPr>
    </w:lvl>
    <w:lvl w:ilvl="4" w:tentative="0">
      <w:start w:val="1"/>
      <w:numFmt w:val="bullet"/>
      <w:lvlText w:val="o"/>
      <w:lvlJc w:val="left"/>
      <w:pPr>
        <w:ind w:left="3033" w:hanging="360"/>
      </w:pPr>
      <w:rPr>
        <w:rFonts w:hint="default" w:ascii="Courier New" w:hAnsi="Courier New" w:cs="Courier New"/>
      </w:rPr>
    </w:lvl>
    <w:lvl w:ilvl="5" w:tentative="0">
      <w:start w:val="1"/>
      <w:numFmt w:val="bullet"/>
      <w:lvlText w:val=""/>
      <w:lvlJc w:val="left"/>
      <w:pPr>
        <w:ind w:left="3753" w:hanging="360"/>
      </w:pPr>
      <w:rPr>
        <w:rFonts w:hint="default" w:ascii="Wingdings" w:hAnsi="Wingdings"/>
      </w:rPr>
    </w:lvl>
    <w:lvl w:ilvl="6" w:tentative="0">
      <w:start w:val="1"/>
      <w:numFmt w:val="bullet"/>
      <w:lvlText w:val=""/>
      <w:lvlJc w:val="left"/>
      <w:pPr>
        <w:ind w:left="4473" w:hanging="360"/>
      </w:pPr>
      <w:rPr>
        <w:rFonts w:hint="default" w:ascii="Symbol" w:hAnsi="Symbol"/>
      </w:rPr>
    </w:lvl>
    <w:lvl w:ilvl="7" w:tentative="0">
      <w:start w:val="1"/>
      <w:numFmt w:val="bullet"/>
      <w:lvlText w:val="o"/>
      <w:lvlJc w:val="left"/>
      <w:pPr>
        <w:ind w:left="5193" w:hanging="360"/>
      </w:pPr>
      <w:rPr>
        <w:rFonts w:hint="default" w:ascii="Courier New" w:hAnsi="Courier New" w:cs="Courier New"/>
      </w:rPr>
    </w:lvl>
    <w:lvl w:ilvl="8" w:tentative="0">
      <w:start w:val="1"/>
      <w:numFmt w:val="bullet"/>
      <w:lvlText w:val=""/>
      <w:lvlJc w:val="left"/>
      <w:pPr>
        <w:ind w:left="5913" w:hanging="360"/>
      </w:pPr>
      <w:rPr>
        <w:rFonts w:hint="default" w:ascii="Wingdings" w:hAnsi="Wingdings"/>
      </w:rPr>
    </w:lvl>
  </w:abstractNum>
  <w:abstractNum w:abstractNumId="8">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9">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0">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1">
    <w:nsid w:val="37BC6EC2"/>
    <w:multiLevelType w:val="multilevel"/>
    <w:tmpl w:val="37BC6EC2"/>
    <w:lvl w:ilvl="0" w:tentative="0">
      <w:start w:val="1"/>
      <w:numFmt w:val="bullet"/>
      <w:lvlText w:val=""/>
      <w:lvlJc w:val="left"/>
      <w:pPr>
        <w:ind w:left="153" w:hanging="360"/>
      </w:pPr>
      <w:rPr>
        <w:rFonts w:hint="default" w:ascii="Symbol" w:hAnsi="Symbol"/>
      </w:rPr>
    </w:lvl>
    <w:lvl w:ilvl="1" w:tentative="0">
      <w:start w:val="1"/>
      <w:numFmt w:val="bullet"/>
      <w:lvlText w:val="o"/>
      <w:lvlJc w:val="left"/>
      <w:pPr>
        <w:ind w:left="873" w:hanging="360"/>
      </w:pPr>
      <w:rPr>
        <w:rFonts w:hint="default" w:ascii="Courier New" w:hAnsi="Courier New" w:cs="Courier New"/>
      </w:rPr>
    </w:lvl>
    <w:lvl w:ilvl="2" w:tentative="0">
      <w:start w:val="1"/>
      <w:numFmt w:val="bullet"/>
      <w:lvlText w:val=""/>
      <w:lvlJc w:val="left"/>
      <w:pPr>
        <w:ind w:left="1593" w:hanging="360"/>
      </w:pPr>
      <w:rPr>
        <w:rFonts w:hint="default" w:ascii="Wingdings" w:hAnsi="Wingdings"/>
      </w:rPr>
    </w:lvl>
    <w:lvl w:ilvl="3" w:tentative="0">
      <w:start w:val="1"/>
      <w:numFmt w:val="bullet"/>
      <w:lvlText w:val=""/>
      <w:lvlJc w:val="left"/>
      <w:pPr>
        <w:ind w:left="2313" w:hanging="360"/>
      </w:pPr>
      <w:rPr>
        <w:rFonts w:hint="default" w:ascii="Symbol" w:hAnsi="Symbol"/>
      </w:rPr>
    </w:lvl>
    <w:lvl w:ilvl="4" w:tentative="0">
      <w:start w:val="1"/>
      <w:numFmt w:val="bullet"/>
      <w:lvlText w:val="o"/>
      <w:lvlJc w:val="left"/>
      <w:pPr>
        <w:ind w:left="3033" w:hanging="360"/>
      </w:pPr>
      <w:rPr>
        <w:rFonts w:hint="default" w:ascii="Courier New" w:hAnsi="Courier New" w:cs="Courier New"/>
      </w:rPr>
    </w:lvl>
    <w:lvl w:ilvl="5" w:tentative="0">
      <w:start w:val="1"/>
      <w:numFmt w:val="bullet"/>
      <w:lvlText w:val=""/>
      <w:lvlJc w:val="left"/>
      <w:pPr>
        <w:ind w:left="3753" w:hanging="360"/>
      </w:pPr>
      <w:rPr>
        <w:rFonts w:hint="default" w:ascii="Wingdings" w:hAnsi="Wingdings"/>
      </w:rPr>
    </w:lvl>
    <w:lvl w:ilvl="6" w:tentative="0">
      <w:start w:val="1"/>
      <w:numFmt w:val="bullet"/>
      <w:lvlText w:val=""/>
      <w:lvlJc w:val="left"/>
      <w:pPr>
        <w:ind w:left="4473" w:hanging="360"/>
      </w:pPr>
      <w:rPr>
        <w:rFonts w:hint="default" w:ascii="Symbol" w:hAnsi="Symbol"/>
      </w:rPr>
    </w:lvl>
    <w:lvl w:ilvl="7" w:tentative="0">
      <w:start w:val="1"/>
      <w:numFmt w:val="bullet"/>
      <w:lvlText w:val="o"/>
      <w:lvlJc w:val="left"/>
      <w:pPr>
        <w:ind w:left="5193" w:hanging="360"/>
      </w:pPr>
      <w:rPr>
        <w:rFonts w:hint="default" w:ascii="Courier New" w:hAnsi="Courier New" w:cs="Courier New"/>
      </w:rPr>
    </w:lvl>
    <w:lvl w:ilvl="8" w:tentative="0">
      <w:start w:val="1"/>
      <w:numFmt w:val="bullet"/>
      <w:lvlText w:val=""/>
      <w:lvlJc w:val="left"/>
      <w:pPr>
        <w:ind w:left="5913" w:hanging="360"/>
      </w:pPr>
      <w:rPr>
        <w:rFonts w:hint="default" w:ascii="Wingdings" w:hAnsi="Wingdings"/>
      </w:rPr>
    </w:lvl>
  </w:abstractNum>
  <w:abstractNum w:abstractNumId="12">
    <w:nsid w:val="39C91E1E"/>
    <w:multiLevelType w:val="multilevel"/>
    <w:tmpl w:val="39C91E1E"/>
    <w:lvl w:ilvl="0" w:tentative="0">
      <w:start w:val="1"/>
      <w:numFmt w:val="bullet"/>
      <w:lvlText w:val=""/>
      <w:lvlJc w:val="left"/>
      <w:pPr>
        <w:ind w:left="153" w:hanging="360"/>
      </w:pPr>
      <w:rPr>
        <w:rFonts w:hint="default" w:ascii="Symbol" w:hAnsi="Symbol"/>
      </w:rPr>
    </w:lvl>
    <w:lvl w:ilvl="1" w:tentative="0">
      <w:start w:val="1"/>
      <w:numFmt w:val="bullet"/>
      <w:lvlText w:val="o"/>
      <w:lvlJc w:val="left"/>
      <w:pPr>
        <w:ind w:left="873" w:hanging="360"/>
      </w:pPr>
      <w:rPr>
        <w:rFonts w:hint="default" w:ascii="Courier New" w:hAnsi="Courier New" w:cs="Courier New"/>
      </w:rPr>
    </w:lvl>
    <w:lvl w:ilvl="2" w:tentative="0">
      <w:start w:val="1"/>
      <w:numFmt w:val="bullet"/>
      <w:lvlText w:val=""/>
      <w:lvlJc w:val="left"/>
      <w:pPr>
        <w:ind w:left="1593" w:hanging="360"/>
      </w:pPr>
      <w:rPr>
        <w:rFonts w:hint="default" w:ascii="Wingdings" w:hAnsi="Wingdings"/>
      </w:rPr>
    </w:lvl>
    <w:lvl w:ilvl="3" w:tentative="0">
      <w:start w:val="1"/>
      <w:numFmt w:val="bullet"/>
      <w:lvlText w:val=""/>
      <w:lvlJc w:val="left"/>
      <w:pPr>
        <w:ind w:left="2313" w:hanging="360"/>
      </w:pPr>
      <w:rPr>
        <w:rFonts w:hint="default" w:ascii="Symbol" w:hAnsi="Symbol"/>
      </w:rPr>
    </w:lvl>
    <w:lvl w:ilvl="4" w:tentative="0">
      <w:start w:val="1"/>
      <w:numFmt w:val="bullet"/>
      <w:lvlText w:val="o"/>
      <w:lvlJc w:val="left"/>
      <w:pPr>
        <w:ind w:left="3033" w:hanging="360"/>
      </w:pPr>
      <w:rPr>
        <w:rFonts w:hint="default" w:ascii="Courier New" w:hAnsi="Courier New" w:cs="Courier New"/>
      </w:rPr>
    </w:lvl>
    <w:lvl w:ilvl="5" w:tentative="0">
      <w:start w:val="1"/>
      <w:numFmt w:val="bullet"/>
      <w:lvlText w:val=""/>
      <w:lvlJc w:val="left"/>
      <w:pPr>
        <w:ind w:left="3753" w:hanging="360"/>
      </w:pPr>
      <w:rPr>
        <w:rFonts w:hint="default" w:ascii="Wingdings" w:hAnsi="Wingdings"/>
      </w:rPr>
    </w:lvl>
    <w:lvl w:ilvl="6" w:tentative="0">
      <w:start w:val="1"/>
      <w:numFmt w:val="bullet"/>
      <w:lvlText w:val=""/>
      <w:lvlJc w:val="left"/>
      <w:pPr>
        <w:ind w:left="4473" w:hanging="360"/>
      </w:pPr>
      <w:rPr>
        <w:rFonts w:hint="default" w:ascii="Symbol" w:hAnsi="Symbol"/>
      </w:rPr>
    </w:lvl>
    <w:lvl w:ilvl="7" w:tentative="0">
      <w:start w:val="1"/>
      <w:numFmt w:val="bullet"/>
      <w:lvlText w:val="o"/>
      <w:lvlJc w:val="left"/>
      <w:pPr>
        <w:ind w:left="5193" w:hanging="360"/>
      </w:pPr>
      <w:rPr>
        <w:rFonts w:hint="default" w:ascii="Courier New" w:hAnsi="Courier New" w:cs="Courier New"/>
      </w:rPr>
    </w:lvl>
    <w:lvl w:ilvl="8" w:tentative="0">
      <w:start w:val="1"/>
      <w:numFmt w:val="bullet"/>
      <w:lvlText w:val=""/>
      <w:lvlJc w:val="left"/>
      <w:pPr>
        <w:ind w:left="5913" w:hanging="360"/>
      </w:pPr>
      <w:rPr>
        <w:rFonts w:hint="default" w:ascii="Wingdings" w:hAnsi="Wingdings"/>
      </w:rPr>
    </w:lvl>
  </w:abstractNum>
  <w:abstractNum w:abstractNumId="13">
    <w:nsid w:val="43A671AE"/>
    <w:multiLevelType w:val="multilevel"/>
    <w:tmpl w:val="43A671AE"/>
    <w:lvl w:ilvl="0" w:tentative="0">
      <w:start w:val="1"/>
      <w:numFmt w:val="decimal"/>
      <w:lvlText w:val="%1."/>
      <w:lvlJc w:val="left"/>
      <w:pPr>
        <w:ind w:left="360" w:hanging="360"/>
      </w:pPr>
      <w:rPr>
        <w:b/>
      </w:rPr>
    </w:lvl>
    <w:lvl w:ilvl="1" w:tentative="0">
      <w:start w:val="1"/>
      <w:numFmt w:val="decimal"/>
      <w:lvlText w:val="2.%2"/>
      <w:lvlJc w:val="left"/>
      <w:pPr>
        <w:ind w:left="792" w:hanging="432"/>
      </w:pPr>
      <w:rPr>
        <w:rFonts w:hint="default"/>
        <w:b/>
        <w:sz w:val="20"/>
        <w:szCs w:val="20"/>
      </w:rPr>
    </w:lvl>
    <w:lvl w:ilvl="2" w:tentative="0">
      <w:start w:val="1"/>
      <w:numFmt w:val="decimal"/>
      <w:lvlText w:val="5.%3"/>
      <w:lvlJc w:val="left"/>
      <w:pPr>
        <w:ind w:left="504" w:hanging="504"/>
      </w:pPr>
      <w:rPr>
        <w:rFonts w:hint="default"/>
        <w:b/>
        <w:bCs w:val="0"/>
        <w:sz w:val="17"/>
        <w:szCs w:val="17"/>
      </w:r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4">
    <w:nsid w:val="49C41E69"/>
    <w:multiLevelType w:val="multilevel"/>
    <w:tmpl w:val="49C41E69"/>
    <w:lvl w:ilvl="0" w:tentative="0">
      <w:start w:val="1"/>
      <w:numFmt w:val="bullet"/>
      <w:lvlText w:val=""/>
      <w:lvlJc w:val="left"/>
      <w:pPr>
        <w:ind w:left="225" w:hanging="360"/>
      </w:pPr>
      <w:rPr>
        <w:rFonts w:hint="default" w:ascii="Symbol" w:hAnsi="Symbol"/>
      </w:rPr>
    </w:lvl>
    <w:lvl w:ilvl="1" w:tentative="0">
      <w:start w:val="1"/>
      <w:numFmt w:val="bullet"/>
      <w:lvlText w:val="o"/>
      <w:lvlJc w:val="left"/>
      <w:pPr>
        <w:ind w:left="945" w:hanging="360"/>
      </w:pPr>
      <w:rPr>
        <w:rFonts w:hint="default" w:ascii="Courier New" w:hAnsi="Courier New" w:cs="Courier New"/>
      </w:rPr>
    </w:lvl>
    <w:lvl w:ilvl="2" w:tentative="0">
      <w:start w:val="1"/>
      <w:numFmt w:val="bullet"/>
      <w:lvlText w:val=""/>
      <w:lvlJc w:val="left"/>
      <w:pPr>
        <w:ind w:left="1665" w:hanging="360"/>
      </w:pPr>
      <w:rPr>
        <w:rFonts w:hint="default" w:ascii="Wingdings" w:hAnsi="Wingdings"/>
      </w:rPr>
    </w:lvl>
    <w:lvl w:ilvl="3" w:tentative="0">
      <w:start w:val="1"/>
      <w:numFmt w:val="bullet"/>
      <w:lvlText w:val=""/>
      <w:lvlJc w:val="left"/>
      <w:pPr>
        <w:ind w:left="2385" w:hanging="360"/>
      </w:pPr>
      <w:rPr>
        <w:rFonts w:hint="default" w:ascii="Symbol" w:hAnsi="Symbol"/>
      </w:rPr>
    </w:lvl>
    <w:lvl w:ilvl="4" w:tentative="0">
      <w:start w:val="1"/>
      <w:numFmt w:val="bullet"/>
      <w:lvlText w:val="o"/>
      <w:lvlJc w:val="left"/>
      <w:pPr>
        <w:ind w:left="3105" w:hanging="360"/>
      </w:pPr>
      <w:rPr>
        <w:rFonts w:hint="default" w:ascii="Courier New" w:hAnsi="Courier New" w:cs="Courier New"/>
      </w:rPr>
    </w:lvl>
    <w:lvl w:ilvl="5" w:tentative="0">
      <w:start w:val="1"/>
      <w:numFmt w:val="bullet"/>
      <w:lvlText w:val=""/>
      <w:lvlJc w:val="left"/>
      <w:pPr>
        <w:ind w:left="3825" w:hanging="360"/>
      </w:pPr>
      <w:rPr>
        <w:rFonts w:hint="default" w:ascii="Wingdings" w:hAnsi="Wingdings"/>
      </w:rPr>
    </w:lvl>
    <w:lvl w:ilvl="6" w:tentative="0">
      <w:start w:val="1"/>
      <w:numFmt w:val="bullet"/>
      <w:lvlText w:val=""/>
      <w:lvlJc w:val="left"/>
      <w:pPr>
        <w:ind w:left="4545" w:hanging="360"/>
      </w:pPr>
      <w:rPr>
        <w:rFonts w:hint="default" w:ascii="Symbol" w:hAnsi="Symbol"/>
      </w:rPr>
    </w:lvl>
    <w:lvl w:ilvl="7" w:tentative="0">
      <w:start w:val="1"/>
      <w:numFmt w:val="bullet"/>
      <w:lvlText w:val="o"/>
      <w:lvlJc w:val="left"/>
      <w:pPr>
        <w:ind w:left="5265" w:hanging="360"/>
      </w:pPr>
      <w:rPr>
        <w:rFonts w:hint="default" w:ascii="Courier New" w:hAnsi="Courier New" w:cs="Courier New"/>
      </w:rPr>
    </w:lvl>
    <w:lvl w:ilvl="8" w:tentative="0">
      <w:start w:val="1"/>
      <w:numFmt w:val="bullet"/>
      <w:lvlText w:val=""/>
      <w:lvlJc w:val="left"/>
      <w:pPr>
        <w:ind w:left="5985" w:hanging="360"/>
      </w:pPr>
      <w:rPr>
        <w:rFonts w:hint="default" w:ascii="Wingdings" w:hAnsi="Wingdings"/>
      </w:rPr>
    </w:lvl>
  </w:abstractNum>
  <w:abstractNum w:abstractNumId="15">
    <w:nsid w:val="50150624"/>
    <w:multiLevelType w:val="multilevel"/>
    <w:tmpl w:val="50150624"/>
    <w:lvl w:ilvl="0" w:tentative="0">
      <w:start w:val="1"/>
      <w:numFmt w:val="decimal"/>
      <w:pStyle w:val="278"/>
      <w:lvlText w:val="%1."/>
      <w:lvlJc w:val="left"/>
      <w:pPr>
        <w:ind w:left="360" w:hanging="360"/>
      </w:pPr>
      <w:rPr>
        <w:rFonts w:hint="default"/>
        <w:b/>
      </w:rPr>
    </w:lvl>
    <w:lvl w:ilvl="1" w:tentative="0">
      <w:start w:val="1"/>
      <w:numFmt w:val="decimal"/>
      <w:pStyle w:val="320"/>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0"/>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6">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ascii="Arial" w:hAnsi="Arial" w:cs="Arial"/>
        <w:sz w:val="18"/>
        <w:szCs w:val="18"/>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7">
    <w:nsid w:val="5940338F"/>
    <w:multiLevelType w:val="multilevel"/>
    <w:tmpl w:val="5940338F"/>
    <w:lvl w:ilvl="0" w:tentative="0">
      <w:start w:val="1"/>
      <w:numFmt w:val="bullet"/>
      <w:lvlText w:val=""/>
      <w:lvlJc w:val="left"/>
      <w:pPr>
        <w:ind w:left="153" w:hanging="360"/>
      </w:pPr>
      <w:rPr>
        <w:rFonts w:hint="default" w:ascii="Wingdings" w:hAnsi="Wingdings"/>
      </w:rPr>
    </w:lvl>
    <w:lvl w:ilvl="1" w:tentative="0">
      <w:start w:val="1"/>
      <w:numFmt w:val="bullet"/>
      <w:lvlText w:val="o"/>
      <w:lvlJc w:val="left"/>
      <w:pPr>
        <w:ind w:left="873" w:hanging="360"/>
      </w:pPr>
      <w:rPr>
        <w:rFonts w:hint="default" w:ascii="Courier New" w:hAnsi="Courier New" w:cs="Courier New"/>
      </w:rPr>
    </w:lvl>
    <w:lvl w:ilvl="2" w:tentative="0">
      <w:start w:val="1"/>
      <w:numFmt w:val="bullet"/>
      <w:lvlText w:val=""/>
      <w:lvlJc w:val="left"/>
      <w:pPr>
        <w:ind w:left="1593" w:hanging="360"/>
      </w:pPr>
      <w:rPr>
        <w:rFonts w:hint="default" w:ascii="Wingdings" w:hAnsi="Wingdings"/>
      </w:rPr>
    </w:lvl>
    <w:lvl w:ilvl="3" w:tentative="0">
      <w:start w:val="1"/>
      <w:numFmt w:val="bullet"/>
      <w:lvlText w:val=""/>
      <w:lvlJc w:val="left"/>
      <w:pPr>
        <w:ind w:left="2313" w:hanging="360"/>
      </w:pPr>
      <w:rPr>
        <w:rFonts w:hint="default" w:ascii="Symbol" w:hAnsi="Symbol"/>
      </w:rPr>
    </w:lvl>
    <w:lvl w:ilvl="4" w:tentative="0">
      <w:start w:val="1"/>
      <w:numFmt w:val="bullet"/>
      <w:lvlText w:val="o"/>
      <w:lvlJc w:val="left"/>
      <w:pPr>
        <w:ind w:left="3033" w:hanging="360"/>
      </w:pPr>
      <w:rPr>
        <w:rFonts w:hint="default" w:ascii="Courier New" w:hAnsi="Courier New" w:cs="Courier New"/>
      </w:rPr>
    </w:lvl>
    <w:lvl w:ilvl="5" w:tentative="0">
      <w:start w:val="1"/>
      <w:numFmt w:val="bullet"/>
      <w:lvlText w:val=""/>
      <w:lvlJc w:val="left"/>
      <w:pPr>
        <w:ind w:left="3753" w:hanging="360"/>
      </w:pPr>
      <w:rPr>
        <w:rFonts w:hint="default" w:ascii="Wingdings" w:hAnsi="Wingdings"/>
      </w:rPr>
    </w:lvl>
    <w:lvl w:ilvl="6" w:tentative="0">
      <w:start w:val="1"/>
      <w:numFmt w:val="bullet"/>
      <w:lvlText w:val=""/>
      <w:lvlJc w:val="left"/>
      <w:pPr>
        <w:ind w:left="4473" w:hanging="360"/>
      </w:pPr>
      <w:rPr>
        <w:rFonts w:hint="default" w:ascii="Symbol" w:hAnsi="Symbol"/>
      </w:rPr>
    </w:lvl>
    <w:lvl w:ilvl="7" w:tentative="0">
      <w:start w:val="1"/>
      <w:numFmt w:val="bullet"/>
      <w:lvlText w:val="o"/>
      <w:lvlJc w:val="left"/>
      <w:pPr>
        <w:ind w:left="5193" w:hanging="360"/>
      </w:pPr>
      <w:rPr>
        <w:rFonts w:hint="default" w:ascii="Courier New" w:hAnsi="Courier New" w:cs="Courier New"/>
      </w:rPr>
    </w:lvl>
    <w:lvl w:ilvl="8" w:tentative="0">
      <w:start w:val="1"/>
      <w:numFmt w:val="bullet"/>
      <w:lvlText w:val=""/>
      <w:lvlJc w:val="left"/>
      <w:pPr>
        <w:ind w:left="5913" w:hanging="360"/>
      </w:pPr>
      <w:rPr>
        <w:rFonts w:hint="default" w:ascii="Wingdings" w:hAnsi="Wingdings"/>
      </w:rPr>
    </w:lvl>
  </w:abstractNum>
  <w:abstractNum w:abstractNumId="18">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9">
    <w:nsid w:val="6421523D"/>
    <w:multiLevelType w:val="singleLevel"/>
    <w:tmpl w:val="6421523D"/>
    <w:lvl w:ilvl="0" w:tentative="0">
      <w:start w:val="18"/>
      <w:numFmt w:val="decimal"/>
      <w:suff w:val="space"/>
      <w:lvlText w:val="%1."/>
      <w:lvlJc w:val="left"/>
    </w:lvl>
  </w:abstractNum>
  <w:abstractNum w:abstractNumId="20">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21">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22">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23">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bCs/>
        <w:color w:val="auto"/>
        <w:sz w:val="18"/>
        <w:szCs w:val="18"/>
      </w:rPr>
    </w:lvl>
    <w:lvl w:ilvl="2" w:tentative="0">
      <w:start w:val="1"/>
      <w:numFmt w:val="decimal"/>
      <w:lvlText w:val="%1.%2.%3"/>
      <w:lvlJc w:val="left"/>
      <w:pPr>
        <w:ind w:left="720" w:hanging="720"/>
      </w:pPr>
      <w:rPr>
        <w:rFonts w:hint="default" w:ascii="Arial" w:hAnsi="Arial" w:cs="Arial"/>
        <w:b w:val="0"/>
        <w:bCs w:val="0"/>
        <w:color w:val="auto"/>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4">
    <w:nsid w:val="7E0C6AE4"/>
    <w:multiLevelType w:val="multilevel"/>
    <w:tmpl w:val="7E0C6AE4"/>
    <w:lvl w:ilvl="0" w:tentative="0">
      <w:start w:val="8"/>
      <w:numFmt w:val="decimal"/>
      <w:lvlText w:val="%1"/>
      <w:lvlJc w:val="left"/>
      <w:pPr>
        <w:ind w:left="435" w:hanging="435"/>
      </w:pPr>
      <w:rPr>
        <w:rFonts w:hint="default"/>
      </w:rPr>
    </w:lvl>
    <w:lvl w:ilvl="1" w:tentative="0">
      <w:start w:val="9"/>
      <w:numFmt w:val="decimal"/>
      <w:lvlText w:val="%1.%2"/>
      <w:lvlJc w:val="left"/>
      <w:pPr>
        <w:ind w:left="435" w:hanging="435"/>
      </w:pPr>
      <w:rPr>
        <w:rFonts w:hint="default" w:ascii="Arial" w:hAnsi="Arial" w:cs="Arial"/>
        <w:i w:val="0"/>
        <w:iCs w:val="0"/>
        <w:sz w:val="18"/>
        <w:szCs w:val="18"/>
      </w:rPr>
    </w:lvl>
    <w:lvl w:ilvl="2" w:tentative="0">
      <w:start w:val="5"/>
      <w:numFmt w:val="decimal"/>
      <w:lvlText w:val="%1.%2.%3"/>
      <w:lvlJc w:val="left"/>
      <w:pPr>
        <w:ind w:left="720" w:hanging="720"/>
      </w:pPr>
      <w:rPr>
        <w:rFonts w:hint="default"/>
        <w:b/>
        <w:bCs/>
        <w:sz w:val="18"/>
        <w:szCs w:val="18"/>
      </w:rPr>
    </w:lvl>
    <w:lvl w:ilvl="3" w:tentative="0">
      <w:start w:val="1"/>
      <w:numFmt w:val="decimal"/>
      <w:lvlText w:val="%1.%2.%3.%4"/>
      <w:lvlJc w:val="left"/>
      <w:pPr>
        <w:ind w:left="720" w:hanging="720"/>
      </w:pPr>
      <w:rPr>
        <w:rFonts w:hint="default"/>
        <w:b w:val="0"/>
        <w:bCs w:val="0"/>
        <w:color w:val="auto"/>
        <w:sz w:val="18"/>
        <w:szCs w:val="18"/>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15"/>
  </w:num>
  <w:num w:numId="2">
    <w:abstractNumId w:val="8"/>
  </w:num>
  <w:num w:numId="3">
    <w:abstractNumId w:val="0"/>
  </w:num>
  <w:num w:numId="4">
    <w:abstractNumId w:val="23"/>
  </w:num>
  <w:num w:numId="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8"/>
  </w:num>
  <w:num w:numId="10">
    <w:abstractNumId w:val="24"/>
  </w:num>
  <w:num w:numId="11">
    <w:abstractNumId w:val="22"/>
  </w:num>
  <w:num w:numId="12">
    <w:abstractNumId w:val="10"/>
  </w:num>
  <w:num w:numId="13">
    <w:abstractNumId w:val="21"/>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
  </w:num>
  <w:num w:numId="17">
    <w:abstractNumId w:val="19"/>
  </w:num>
  <w:num w:numId="18">
    <w:abstractNumId w:val="6"/>
  </w:num>
  <w:num w:numId="19">
    <w:abstractNumId w:val="7"/>
  </w:num>
  <w:num w:numId="20">
    <w:abstractNumId w:val="17"/>
  </w:num>
  <w:num w:numId="21">
    <w:abstractNumId w:val="12"/>
  </w:num>
  <w:num w:numId="22">
    <w:abstractNumId w:val="14"/>
  </w:num>
  <w:num w:numId="23">
    <w:abstractNumId w:val="11"/>
  </w:num>
  <w:num w:numId="24">
    <w:abstractNumId w:val="4"/>
  </w:num>
  <w:num w:numId="25">
    <w:abstractNumId w:val="13"/>
  </w:num>
  <w:num w:numId="26">
    <w:abstractNumId w:val="5"/>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D2C92"/>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47C6A"/>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0010"/>
    <w:rsid w:val="00EB2FF0"/>
    <w:rsid w:val="00EB51AE"/>
    <w:rsid w:val="00EB61D0"/>
    <w:rsid w:val="00EC0584"/>
    <w:rsid w:val="00EC21CA"/>
    <w:rsid w:val="00EE3395"/>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1E924B1"/>
    <w:rsid w:val="021F0951"/>
    <w:rsid w:val="023F4F02"/>
    <w:rsid w:val="02A837E9"/>
    <w:rsid w:val="039869FE"/>
    <w:rsid w:val="041462BE"/>
    <w:rsid w:val="046B1633"/>
    <w:rsid w:val="04AC369E"/>
    <w:rsid w:val="05494914"/>
    <w:rsid w:val="057672F2"/>
    <w:rsid w:val="05C36005"/>
    <w:rsid w:val="05DE29C6"/>
    <w:rsid w:val="06041F84"/>
    <w:rsid w:val="06A2436E"/>
    <w:rsid w:val="06A40338"/>
    <w:rsid w:val="06BD7EC9"/>
    <w:rsid w:val="071B739D"/>
    <w:rsid w:val="076B1838"/>
    <w:rsid w:val="07D04327"/>
    <w:rsid w:val="084354F7"/>
    <w:rsid w:val="08662E72"/>
    <w:rsid w:val="088C08E9"/>
    <w:rsid w:val="09280895"/>
    <w:rsid w:val="099A6906"/>
    <w:rsid w:val="09A44850"/>
    <w:rsid w:val="0A1A36A0"/>
    <w:rsid w:val="0A1E5378"/>
    <w:rsid w:val="0A892C60"/>
    <w:rsid w:val="0B2E0FAF"/>
    <w:rsid w:val="0C6254CE"/>
    <w:rsid w:val="0C745C89"/>
    <w:rsid w:val="0C9B62D5"/>
    <w:rsid w:val="0CC5327E"/>
    <w:rsid w:val="0CFF1471"/>
    <w:rsid w:val="0D084D71"/>
    <w:rsid w:val="0D7910A1"/>
    <w:rsid w:val="0E4711FC"/>
    <w:rsid w:val="0F085E08"/>
    <w:rsid w:val="108D148E"/>
    <w:rsid w:val="109D402C"/>
    <w:rsid w:val="11C747A2"/>
    <w:rsid w:val="123371E8"/>
    <w:rsid w:val="130A0F08"/>
    <w:rsid w:val="13461D1B"/>
    <w:rsid w:val="134A4E0F"/>
    <w:rsid w:val="13566046"/>
    <w:rsid w:val="135C0EA9"/>
    <w:rsid w:val="13904F26"/>
    <w:rsid w:val="13C52703"/>
    <w:rsid w:val="13F57565"/>
    <w:rsid w:val="140A478A"/>
    <w:rsid w:val="15395446"/>
    <w:rsid w:val="15B03756"/>
    <w:rsid w:val="16E549E0"/>
    <w:rsid w:val="16EA4716"/>
    <w:rsid w:val="175C2605"/>
    <w:rsid w:val="18343DC6"/>
    <w:rsid w:val="1838494B"/>
    <w:rsid w:val="188006D9"/>
    <w:rsid w:val="18B47B61"/>
    <w:rsid w:val="19002FAD"/>
    <w:rsid w:val="194A621D"/>
    <w:rsid w:val="19AE222D"/>
    <w:rsid w:val="19DF440E"/>
    <w:rsid w:val="1A306BDC"/>
    <w:rsid w:val="1A3B6C9E"/>
    <w:rsid w:val="1A591124"/>
    <w:rsid w:val="1AED0EEA"/>
    <w:rsid w:val="1B5F138E"/>
    <w:rsid w:val="1BC33069"/>
    <w:rsid w:val="1C155B9F"/>
    <w:rsid w:val="1C1C6842"/>
    <w:rsid w:val="1DA03128"/>
    <w:rsid w:val="1E0279F8"/>
    <w:rsid w:val="1E4C628E"/>
    <w:rsid w:val="1ECF1EFD"/>
    <w:rsid w:val="1F513231"/>
    <w:rsid w:val="1FA03EF2"/>
    <w:rsid w:val="1FA328F8"/>
    <w:rsid w:val="202F6C59"/>
    <w:rsid w:val="20700482"/>
    <w:rsid w:val="209C70ED"/>
    <w:rsid w:val="20CB235B"/>
    <w:rsid w:val="20D45FA9"/>
    <w:rsid w:val="21033C49"/>
    <w:rsid w:val="21523992"/>
    <w:rsid w:val="2173291C"/>
    <w:rsid w:val="21B34630"/>
    <w:rsid w:val="21B62EB3"/>
    <w:rsid w:val="22DF6543"/>
    <w:rsid w:val="234A2DB2"/>
    <w:rsid w:val="235A16F6"/>
    <w:rsid w:val="243F4EA1"/>
    <w:rsid w:val="24B0470C"/>
    <w:rsid w:val="24D91E32"/>
    <w:rsid w:val="25060297"/>
    <w:rsid w:val="25361FED"/>
    <w:rsid w:val="25632AB4"/>
    <w:rsid w:val="26467D5D"/>
    <w:rsid w:val="268D24CB"/>
    <w:rsid w:val="26A522E5"/>
    <w:rsid w:val="26AB2EEF"/>
    <w:rsid w:val="26E76EFF"/>
    <w:rsid w:val="27935519"/>
    <w:rsid w:val="28177609"/>
    <w:rsid w:val="289D2943"/>
    <w:rsid w:val="28DF667B"/>
    <w:rsid w:val="295938E3"/>
    <w:rsid w:val="296F6575"/>
    <w:rsid w:val="29A90543"/>
    <w:rsid w:val="29B20756"/>
    <w:rsid w:val="29D60DFE"/>
    <w:rsid w:val="29D87A35"/>
    <w:rsid w:val="29F03C89"/>
    <w:rsid w:val="2A027DF4"/>
    <w:rsid w:val="2B273C3C"/>
    <w:rsid w:val="2B7E0EDF"/>
    <w:rsid w:val="2BA5188B"/>
    <w:rsid w:val="2BAC08D4"/>
    <w:rsid w:val="2BC12DD8"/>
    <w:rsid w:val="2BF66346"/>
    <w:rsid w:val="2C58733A"/>
    <w:rsid w:val="2C7E74AC"/>
    <w:rsid w:val="2CB11091"/>
    <w:rsid w:val="2DB35605"/>
    <w:rsid w:val="2E3F034F"/>
    <w:rsid w:val="2E514506"/>
    <w:rsid w:val="2E611FB6"/>
    <w:rsid w:val="2E7471D0"/>
    <w:rsid w:val="2E950EB9"/>
    <w:rsid w:val="2EE90188"/>
    <w:rsid w:val="2F2612DC"/>
    <w:rsid w:val="2F462A0C"/>
    <w:rsid w:val="2F712264"/>
    <w:rsid w:val="2F7D0104"/>
    <w:rsid w:val="2F8F5830"/>
    <w:rsid w:val="2FB01D49"/>
    <w:rsid w:val="2FE56B8B"/>
    <w:rsid w:val="30213D0E"/>
    <w:rsid w:val="30704386"/>
    <w:rsid w:val="308D0C3E"/>
    <w:rsid w:val="30B03B21"/>
    <w:rsid w:val="30FC1269"/>
    <w:rsid w:val="310041B1"/>
    <w:rsid w:val="311E3766"/>
    <w:rsid w:val="3150612E"/>
    <w:rsid w:val="31D574D0"/>
    <w:rsid w:val="31E13090"/>
    <w:rsid w:val="320821DE"/>
    <w:rsid w:val="32BF5443"/>
    <w:rsid w:val="32C171AA"/>
    <w:rsid w:val="33764BA1"/>
    <w:rsid w:val="33E47230"/>
    <w:rsid w:val="34160B18"/>
    <w:rsid w:val="341C3E53"/>
    <w:rsid w:val="351C73E8"/>
    <w:rsid w:val="35414F6E"/>
    <w:rsid w:val="35DB42A7"/>
    <w:rsid w:val="35FD0F8B"/>
    <w:rsid w:val="36153AC8"/>
    <w:rsid w:val="364A4591"/>
    <w:rsid w:val="36E91DC4"/>
    <w:rsid w:val="37AB3314"/>
    <w:rsid w:val="37C74CD0"/>
    <w:rsid w:val="37EC6A19"/>
    <w:rsid w:val="37FF04D4"/>
    <w:rsid w:val="38541A9E"/>
    <w:rsid w:val="3858680B"/>
    <w:rsid w:val="392A0E24"/>
    <w:rsid w:val="398D25DE"/>
    <w:rsid w:val="3A4D68B5"/>
    <w:rsid w:val="3A782F7C"/>
    <w:rsid w:val="3A8821F4"/>
    <w:rsid w:val="3A8D7822"/>
    <w:rsid w:val="3AE54320"/>
    <w:rsid w:val="3B6D0F0B"/>
    <w:rsid w:val="3BCF7D26"/>
    <w:rsid w:val="3CE04670"/>
    <w:rsid w:val="3D6F1FB5"/>
    <w:rsid w:val="3E203A15"/>
    <w:rsid w:val="3E280296"/>
    <w:rsid w:val="3E9832FD"/>
    <w:rsid w:val="3EAD2680"/>
    <w:rsid w:val="3EE6654F"/>
    <w:rsid w:val="3F1D6EF7"/>
    <w:rsid w:val="3F380C61"/>
    <w:rsid w:val="3F726CB5"/>
    <w:rsid w:val="40C73FD6"/>
    <w:rsid w:val="40FA5D04"/>
    <w:rsid w:val="417501F3"/>
    <w:rsid w:val="42856917"/>
    <w:rsid w:val="429057C0"/>
    <w:rsid w:val="431B5DEF"/>
    <w:rsid w:val="431D4064"/>
    <w:rsid w:val="438E56E3"/>
    <w:rsid w:val="43911EEB"/>
    <w:rsid w:val="440476D6"/>
    <w:rsid w:val="45300692"/>
    <w:rsid w:val="453E5466"/>
    <w:rsid w:val="454C2ACB"/>
    <w:rsid w:val="455C49D9"/>
    <w:rsid w:val="4570367A"/>
    <w:rsid w:val="45C41F85"/>
    <w:rsid w:val="45D36BBB"/>
    <w:rsid w:val="45DA4C4B"/>
    <w:rsid w:val="46020A77"/>
    <w:rsid w:val="461D4A97"/>
    <w:rsid w:val="4642363C"/>
    <w:rsid w:val="46591B06"/>
    <w:rsid w:val="46681314"/>
    <w:rsid w:val="46C65063"/>
    <w:rsid w:val="470518CB"/>
    <w:rsid w:val="471D243C"/>
    <w:rsid w:val="477C2455"/>
    <w:rsid w:val="47FC6227"/>
    <w:rsid w:val="4802235F"/>
    <w:rsid w:val="485149CD"/>
    <w:rsid w:val="48DD08C5"/>
    <w:rsid w:val="48F30D3D"/>
    <w:rsid w:val="49221654"/>
    <w:rsid w:val="49471290"/>
    <w:rsid w:val="49B16491"/>
    <w:rsid w:val="49E75DBF"/>
    <w:rsid w:val="4A1B3C83"/>
    <w:rsid w:val="4AE47087"/>
    <w:rsid w:val="4B6541A4"/>
    <w:rsid w:val="4B821692"/>
    <w:rsid w:val="4B9E2EE3"/>
    <w:rsid w:val="4BA62863"/>
    <w:rsid w:val="4BDF3F6E"/>
    <w:rsid w:val="4BE0608A"/>
    <w:rsid w:val="4BF06BDD"/>
    <w:rsid w:val="4C484637"/>
    <w:rsid w:val="4C690434"/>
    <w:rsid w:val="4CAA6322"/>
    <w:rsid w:val="4D3D70AE"/>
    <w:rsid w:val="4D5E6ED9"/>
    <w:rsid w:val="4D87670D"/>
    <w:rsid w:val="4DAF7402"/>
    <w:rsid w:val="4DB846BD"/>
    <w:rsid w:val="4DC06986"/>
    <w:rsid w:val="4DC67027"/>
    <w:rsid w:val="4E2912CA"/>
    <w:rsid w:val="4E377AA9"/>
    <w:rsid w:val="4E3D4066"/>
    <w:rsid w:val="4E581E19"/>
    <w:rsid w:val="4E7116BE"/>
    <w:rsid w:val="4E7E31BB"/>
    <w:rsid w:val="4E811958"/>
    <w:rsid w:val="4EAC3E74"/>
    <w:rsid w:val="4ED107DE"/>
    <w:rsid w:val="4EDB4A5B"/>
    <w:rsid w:val="4F483CBA"/>
    <w:rsid w:val="4FDA3AB0"/>
    <w:rsid w:val="5000564D"/>
    <w:rsid w:val="501C1C11"/>
    <w:rsid w:val="505E3468"/>
    <w:rsid w:val="506742E3"/>
    <w:rsid w:val="50B5468B"/>
    <w:rsid w:val="50D67C2E"/>
    <w:rsid w:val="51453A91"/>
    <w:rsid w:val="51455CE4"/>
    <w:rsid w:val="517436EE"/>
    <w:rsid w:val="51CF3978"/>
    <w:rsid w:val="51D356B8"/>
    <w:rsid w:val="52465311"/>
    <w:rsid w:val="52860DDA"/>
    <w:rsid w:val="52CF109F"/>
    <w:rsid w:val="52DE0DC1"/>
    <w:rsid w:val="53287BFD"/>
    <w:rsid w:val="535A7779"/>
    <w:rsid w:val="53A54E0C"/>
    <w:rsid w:val="53E030A9"/>
    <w:rsid w:val="554716F7"/>
    <w:rsid w:val="55876FC0"/>
    <w:rsid w:val="55BD147F"/>
    <w:rsid w:val="55E15F51"/>
    <w:rsid w:val="56291CEA"/>
    <w:rsid w:val="56B22127"/>
    <w:rsid w:val="56BD255D"/>
    <w:rsid w:val="57137BBD"/>
    <w:rsid w:val="57293FF9"/>
    <w:rsid w:val="57D0757A"/>
    <w:rsid w:val="58342F28"/>
    <w:rsid w:val="58614E3B"/>
    <w:rsid w:val="5878525E"/>
    <w:rsid w:val="588E3981"/>
    <w:rsid w:val="58940F50"/>
    <w:rsid w:val="58E943C6"/>
    <w:rsid w:val="59194FF3"/>
    <w:rsid w:val="594C2058"/>
    <w:rsid w:val="599D6213"/>
    <w:rsid w:val="59D5303F"/>
    <w:rsid w:val="59DE0E81"/>
    <w:rsid w:val="5A35536E"/>
    <w:rsid w:val="5A4D36B3"/>
    <w:rsid w:val="5A990128"/>
    <w:rsid w:val="5B224A68"/>
    <w:rsid w:val="5B261AA8"/>
    <w:rsid w:val="5B6F0845"/>
    <w:rsid w:val="5BC449ED"/>
    <w:rsid w:val="5C12247E"/>
    <w:rsid w:val="5C7E560B"/>
    <w:rsid w:val="5CB731C6"/>
    <w:rsid w:val="5D126C47"/>
    <w:rsid w:val="5D452069"/>
    <w:rsid w:val="5DB73614"/>
    <w:rsid w:val="5F4D6FE9"/>
    <w:rsid w:val="5F777E2D"/>
    <w:rsid w:val="5FA93E7F"/>
    <w:rsid w:val="5FEA04C5"/>
    <w:rsid w:val="60683A88"/>
    <w:rsid w:val="61436DAE"/>
    <w:rsid w:val="61A04AD5"/>
    <w:rsid w:val="61F74F7D"/>
    <w:rsid w:val="6212532B"/>
    <w:rsid w:val="627444BC"/>
    <w:rsid w:val="62D665B5"/>
    <w:rsid w:val="62E83F51"/>
    <w:rsid w:val="633E2577"/>
    <w:rsid w:val="63AD2564"/>
    <w:rsid w:val="63F5795B"/>
    <w:rsid w:val="63F97611"/>
    <w:rsid w:val="64655269"/>
    <w:rsid w:val="646B1ECF"/>
    <w:rsid w:val="646B6AF5"/>
    <w:rsid w:val="648D429C"/>
    <w:rsid w:val="655C6A24"/>
    <w:rsid w:val="67236BC5"/>
    <w:rsid w:val="67421678"/>
    <w:rsid w:val="67AD5FAB"/>
    <w:rsid w:val="67E049F9"/>
    <w:rsid w:val="68B7343F"/>
    <w:rsid w:val="68D827BB"/>
    <w:rsid w:val="69634EFA"/>
    <w:rsid w:val="69C45E93"/>
    <w:rsid w:val="6A027B6C"/>
    <w:rsid w:val="6A0D62A7"/>
    <w:rsid w:val="6A465168"/>
    <w:rsid w:val="6A902988"/>
    <w:rsid w:val="6AC95741"/>
    <w:rsid w:val="6AEA3E9C"/>
    <w:rsid w:val="6B491513"/>
    <w:rsid w:val="6C1A102C"/>
    <w:rsid w:val="6C206D03"/>
    <w:rsid w:val="6CAC2460"/>
    <w:rsid w:val="6D667622"/>
    <w:rsid w:val="6DBA1CB4"/>
    <w:rsid w:val="6E114EEB"/>
    <w:rsid w:val="6E147427"/>
    <w:rsid w:val="6E885E6B"/>
    <w:rsid w:val="6EA9791B"/>
    <w:rsid w:val="6F1351D1"/>
    <w:rsid w:val="6F742AF2"/>
    <w:rsid w:val="6FE13B94"/>
    <w:rsid w:val="6FEA5F4A"/>
    <w:rsid w:val="6FF41EBB"/>
    <w:rsid w:val="701B1641"/>
    <w:rsid w:val="702D3EF9"/>
    <w:rsid w:val="702E2F9A"/>
    <w:rsid w:val="704509C1"/>
    <w:rsid w:val="704B327F"/>
    <w:rsid w:val="716B0135"/>
    <w:rsid w:val="71CE6D1D"/>
    <w:rsid w:val="71D21B21"/>
    <w:rsid w:val="7204769A"/>
    <w:rsid w:val="723C5B16"/>
    <w:rsid w:val="72452437"/>
    <w:rsid w:val="725A39AC"/>
    <w:rsid w:val="731A4C66"/>
    <w:rsid w:val="734C5C19"/>
    <w:rsid w:val="73A103C3"/>
    <w:rsid w:val="73E94E79"/>
    <w:rsid w:val="74237697"/>
    <w:rsid w:val="74484054"/>
    <w:rsid w:val="747C21C8"/>
    <w:rsid w:val="750C7615"/>
    <w:rsid w:val="75463962"/>
    <w:rsid w:val="756B0CB3"/>
    <w:rsid w:val="75797FFF"/>
    <w:rsid w:val="76846FE7"/>
    <w:rsid w:val="769969FA"/>
    <w:rsid w:val="77110C43"/>
    <w:rsid w:val="77296694"/>
    <w:rsid w:val="773E49D2"/>
    <w:rsid w:val="776E2095"/>
    <w:rsid w:val="77DE719F"/>
    <w:rsid w:val="77FA49FE"/>
    <w:rsid w:val="781D5C9E"/>
    <w:rsid w:val="784150D0"/>
    <w:rsid w:val="789336DE"/>
    <w:rsid w:val="78DD679B"/>
    <w:rsid w:val="79924C25"/>
    <w:rsid w:val="7A633959"/>
    <w:rsid w:val="7AEA1B01"/>
    <w:rsid w:val="7AFB26E8"/>
    <w:rsid w:val="7B1201EF"/>
    <w:rsid w:val="7B9375BC"/>
    <w:rsid w:val="7BB7279F"/>
    <w:rsid w:val="7C220E9E"/>
    <w:rsid w:val="7C38707B"/>
    <w:rsid w:val="7C3F355D"/>
    <w:rsid w:val="7C5278FB"/>
    <w:rsid w:val="7C6F3E79"/>
    <w:rsid w:val="7C993579"/>
    <w:rsid w:val="7D7635FF"/>
    <w:rsid w:val="7DAE615B"/>
    <w:rsid w:val="7E233080"/>
    <w:rsid w:val="7E775D49"/>
    <w:rsid w:val="7ED2536B"/>
    <w:rsid w:val="7F024C6C"/>
    <w:rsid w:val="7F064067"/>
    <w:rsid w:val="7F43588D"/>
    <w:rsid w:val="7F7D5B00"/>
    <w:rsid w:val="7FAE73D0"/>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atentStyles>
  <w:style w:type="paragraph" w:default="1" w:styleId="1">
    <w:name w:val="Normal"/>
    <w:link w:val="338"/>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1"/>
    <w:next w:val="1"/>
    <w:link w:val="194"/>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character" w:default="1" w:styleId="3">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character" w:styleId="5">
    <w:name w:val="endnote reference"/>
    <w:basedOn w:val="3"/>
    <w:autoRedefine/>
    <w:semiHidden/>
    <w:unhideWhenUsed/>
    <w:qFormat/>
    <w:uiPriority w:val="99"/>
    <w:rPr>
      <w:vertAlign w:val="superscript"/>
    </w:rPr>
  </w:style>
  <w:style w:type="character" w:styleId="6">
    <w:name w:val="Strong"/>
    <w:basedOn w:val="3"/>
    <w:autoRedefine/>
    <w:qFormat/>
    <w:uiPriority w:val="22"/>
    <w:rPr>
      <w:rFonts w:cs="Times New Roman"/>
      <w:b/>
      <w:bCs/>
    </w:rPr>
  </w:style>
  <w:style w:type="character" w:styleId="7">
    <w:name w:val="annotation reference"/>
    <w:basedOn w:val="3"/>
    <w:autoRedefine/>
    <w:semiHidden/>
    <w:unhideWhenUsed/>
    <w:qFormat/>
    <w:uiPriority w:val="0"/>
    <w:rPr>
      <w:sz w:val="16"/>
      <w:szCs w:val="16"/>
    </w:rPr>
  </w:style>
  <w:style w:type="character" w:styleId="8">
    <w:name w:val="FollowedHyperlink"/>
    <w:basedOn w:val="3"/>
    <w:autoRedefine/>
    <w:unhideWhenUsed/>
    <w:qFormat/>
    <w:uiPriority w:val="0"/>
    <w:rPr>
      <w:color w:val="800080"/>
      <w:u w:val="single"/>
    </w:rPr>
  </w:style>
  <w:style w:type="character" w:styleId="9">
    <w:name w:val="Emphasis"/>
    <w:basedOn w:val="3"/>
    <w:autoRedefine/>
    <w:qFormat/>
    <w:uiPriority w:val="20"/>
    <w:rPr>
      <w:i/>
      <w:iCs/>
    </w:rPr>
  </w:style>
  <w:style w:type="character" w:styleId="10">
    <w:name w:val="footnote reference"/>
    <w:basedOn w:val="3"/>
    <w:autoRedefine/>
    <w:semiHidden/>
    <w:unhideWhenUsed/>
    <w:qFormat/>
    <w:uiPriority w:val="99"/>
    <w:rPr>
      <w:vertAlign w:val="superscript"/>
    </w:rPr>
  </w:style>
  <w:style w:type="character" w:styleId="11">
    <w:name w:val="Hyperlink"/>
    <w:basedOn w:val="3"/>
    <w:autoRedefine/>
    <w:qFormat/>
    <w:uiPriority w:val="0"/>
    <w:rPr>
      <w:rFonts w:cs="Times New Roman"/>
      <w:color w:val="000080"/>
      <w:u w:val="single"/>
    </w:rPr>
  </w:style>
  <w:style w:type="paragraph" w:styleId="12">
    <w:name w:val="toc 2"/>
    <w:basedOn w:val="1"/>
    <w:next w:val="1"/>
    <w:autoRedefine/>
    <w:unhideWhenUsed/>
    <w:qFormat/>
    <w:uiPriority w:val="39"/>
    <w:pPr>
      <w:spacing w:after="57"/>
      <w:ind w:left="283"/>
    </w:pPr>
  </w:style>
  <w:style w:type="paragraph" w:styleId="13">
    <w:name w:val="toc 9"/>
    <w:basedOn w:val="1"/>
    <w:next w:val="1"/>
    <w:autoRedefine/>
    <w:unhideWhenUsed/>
    <w:qFormat/>
    <w:uiPriority w:val="39"/>
    <w:pPr>
      <w:spacing w:after="57"/>
      <w:ind w:left="2268"/>
    </w:pPr>
  </w:style>
  <w:style w:type="paragraph" w:styleId="14">
    <w:name w:val="Body Text"/>
    <w:basedOn w:val="1"/>
    <w:link w:val="198"/>
    <w:autoRedefine/>
    <w:qFormat/>
    <w:uiPriority w:val="0"/>
    <w:pPr>
      <w:jc w:val="both"/>
    </w:pPr>
    <w:rPr>
      <w:b/>
      <w:bCs/>
    </w:rPr>
  </w:style>
  <w:style w:type="paragraph" w:styleId="15">
    <w:name w:val="toc 6"/>
    <w:basedOn w:val="1"/>
    <w:next w:val="1"/>
    <w:autoRedefine/>
    <w:unhideWhenUsed/>
    <w:qFormat/>
    <w:uiPriority w:val="39"/>
    <w:pPr>
      <w:spacing w:after="57"/>
      <w:ind w:left="1417"/>
    </w:pPr>
  </w:style>
  <w:style w:type="paragraph" w:styleId="16">
    <w:name w:val="annotation text"/>
    <w:basedOn w:val="1"/>
    <w:link w:val="308"/>
    <w:autoRedefine/>
    <w:semiHidden/>
    <w:unhideWhenUsed/>
    <w:qFormat/>
    <w:uiPriority w:val="0"/>
    <w:rPr>
      <w:rFonts w:ascii="ecofont_spranq_eco_sans" w:hAnsi="ecofont_spranq_eco_sans" w:cs="Tahoma" w:eastAsiaTheme="minorEastAsia"/>
      <w:sz w:val="20"/>
      <w:szCs w:val="20"/>
    </w:rPr>
  </w:style>
  <w:style w:type="paragraph" w:styleId="17">
    <w:name w:val="toc 5"/>
    <w:basedOn w:val="1"/>
    <w:next w:val="1"/>
    <w:autoRedefine/>
    <w:unhideWhenUsed/>
    <w:qFormat/>
    <w:uiPriority w:val="39"/>
    <w:pPr>
      <w:spacing w:after="57"/>
      <w:ind w:left="1134"/>
    </w:pPr>
  </w:style>
  <w:style w:type="paragraph" w:styleId="18">
    <w:name w:val="table of figures"/>
    <w:basedOn w:val="1"/>
    <w:next w:val="1"/>
    <w:autoRedefine/>
    <w:unhideWhenUsed/>
    <w:qFormat/>
    <w:uiPriority w:val="99"/>
  </w:style>
  <w:style w:type="paragraph" w:styleId="19">
    <w:name w:val="Title"/>
    <w:basedOn w:val="1"/>
    <w:link w:val="205"/>
    <w:autoRedefine/>
    <w:qFormat/>
    <w:uiPriority w:val="99"/>
    <w:pPr>
      <w:jc w:val="center"/>
    </w:pPr>
    <w:rPr>
      <w:b/>
      <w:bCs/>
      <w:sz w:val="40"/>
    </w:rPr>
  </w:style>
  <w:style w:type="paragraph" w:styleId="20">
    <w:name w:val="endnote text"/>
    <w:basedOn w:val="1"/>
    <w:link w:val="224"/>
    <w:autoRedefine/>
    <w:semiHidden/>
    <w:unhideWhenUsed/>
    <w:qFormat/>
    <w:uiPriority w:val="99"/>
    <w:rPr>
      <w:sz w:val="20"/>
      <w:szCs w:val="20"/>
    </w:rPr>
  </w:style>
  <w:style w:type="paragraph" w:styleId="21">
    <w:name w:val="Normal (Web)"/>
    <w:basedOn w:val="1"/>
    <w:autoRedefine/>
    <w:qFormat/>
    <w:uiPriority w:val="99"/>
    <w:pPr>
      <w:spacing w:before="100" w:beforeAutospacing="1" w:after="100" w:afterAutospacing="1"/>
    </w:pPr>
  </w:style>
  <w:style w:type="paragraph" w:styleId="22">
    <w:name w:val="toc 4"/>
    <w:basedOn w:val="1"/>
    <w:next w:val="1"/>
    <w:autoRedefine/>
    <w:unhideWhenUsed/>
    <w:qFormat/>
    <w:uiPriority w:val="39"/>
    <w:pPr>
      <w:spacing w:after="57"/>
      <w:ind w:left="850"/>
    </w:pPr>
  </w:style>
  <w:style w:type="paragraph" w:styleId="23">
    <w:name w:val="toc 8"/>
    <w:basedOn w:val="1"/>
    <w:next w:val="1"/>
    <w:autoRedefine/>
    <w:unhideWhenUsed/>
    <w:qFormat/>
    <w:uiPriority w:val="39"/>
    <w:pPr>
      <w:spacing w:after="57"/>
      <w:ind w:left="1984"/>
    </w:pPr>
  </w:style>
  <w:style w:type="paragraph" w:styleId="24">
    <w:name w:val="Body Text 3"/>
    <w:basedOn w:val="1"/>
    <w:link w:val="204"/>
    <w:autoRedefine/>
    <w:qFormat/>
    <w:uiPriority w:val="99"/>
    <w:pPr>
      <w:spacing w:after="120"/>
    </w:pPr>
    <w:rPr>
      <w:sz w:val="16"/>
      <w:szCs w:val="16"/>
    </w:rPr>
  </w:style>
  <w:style w:type="paragraph" w:styleId="25">
    <w:name w:val="HTML Preformatted"/>
    <w:basedOn w:val="1"/>
    <w:link w:val="279"/>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paragraph" w:styleId="26">
    <w:name w:val="Body Text 2"/>
    <w:basedOn w:val="1"/>
    <w:link w:val="208"/>
    <w:autoRedefine/>
    <w:qFormat/>
    <w:uiPriority w:val="99"/>
    <w:pPr>
      <w:spacing w:after="120" w:line="480" w:lineRule="auto"/>
    </w:pPr>
  </w:style>
  <w:style w:type="paragraph" w:styleId="27">
    <w:name w:val="header"/>
    <w:basedOn w:val="1"/>
    <w:link w:val="296"/>
    <w:autoRedefine/>
    <w:unhideWhenUsed/>
    <w:qFormat/>
    <w:uiPriority w:val="99"/>
    <w:pPr>
      <w:tabs>
        <w:tab w:val="center" w:pos="4252"/>
        <w:tab w:val="right" w:pos="8504"/>
      </w:tabs>
    </w:pPr>
  </w:style>
  <w:style w:type="paragraph" w:styleId="28">
    <w:name w:val="annotation subject"/>
    <w:basedOn w:val="16"/>
    <w:next w:val="16"/>
    <w:link w:val="314"/>
    <w:autoRedefine/>
    <w:semiHidden/>
    <w:unhideWhenUsed/>
    <w:qFormat/>
    <w:uiPriority w:val="99"/>
    <w:rPr>
      <w:rFonts w:ascii="Times New Roman" w:hAnsi="Times New Roman" w:eastAsia="Times New Roman" w:cs="Times New Roman"/>
      <w:b/>
      <w:bCs/>
    </w:rPr>
  </w:style>
  <w:style w:type="paragraph" w:styleId="29">
    <w:name w:val="footer"/>
    <w:basedOn w:val="1"/>
    <w:link w:val="297"/>
    <w:autoRedefine/>
    <w:unhideWhenUsed/>
    <w:qFormat/>
    <w:uiPriority w:val="99"/>
    <w:pPr>
      <w:tabs>
        <w:tab w:val="center" w:pos="4252"/>
        <w:tab w:val="right" w:pos="8504"/>
      </w:tabs>
    </w:pPr>
  </w:style>
  <w:style w:type="paragraph" w:styleId="30">
    <w:name w:val="toc 7"/>
    <w:basedOn w:val="1"/>
    <w:next w:val="1"/>
    <w:autoRedefine/>
    <w:unhideWhenUsed/>
    <w:qFormat/>
    <w:uiPriority w:val="39"/>
    <w:pPr>
      <w:spacing w:after="57"/>
      <w:ind w:left="1701"/>
    </w:pPr>
  </w:style>
  <w:style w:type="paragraph" w:styleId="31">
    <w:name w:val="Body Text Indent 3"/>
    <w:basedOn w:val="1"/>
    <w:link w:val="294"/>
    <w:autoRedefine/>
    <w:qFormat/>
    <w:uiPriority w:val="0"/>
    <w:pPr>
      <w:spacing w:after="120"/>
      <w:ind w:left="283"/>
    </w:pPr>
    <w:rPr>
      <w:sz w:val="16"/>
      <w:szCs w:val="16"/>
    </w:rPr>
  </w:style>
  <w:style w:type="paragraph" w:styleId="32">
    <w:name w:val="toc 3"/>
    <w:basedOn w:val="1"/>
    <w:next w:val="1"/>
    <w:autoRedefine/>
    <w:unhideWhenUsed/>
    <w:qFormat/>
    <w:uiPriority w:val="39"/>
    <w:pPr>
      <w:spacing w:after="57"/>
      <w:ind w:left="567"/>
    </w:pPr>
  </w:style>
  <w:style w:type="paragraph" w:styleId="33">
    <w:name w:val="Balloon Text"/>
    <w:basedOn w:val="1"/>
    <w:link w:val="203"/>
    <w:autoRedefine/>
    <w:qFormat/>
    <w:uiPriority w:val="0"/>
    <w:rPr>
      <w:rFonts w:ascii="Tahoma" w:hAnsi="Tahoma" w:cs="Tahoma"/>
      <w:sz w:val="16"/>
      <w:szCs w:val="16"/>
    </w:rPr>
  </w:style>
  <w:style w:type="paragraph" w:styleId="34">
    <w:name w:val="Subtitle"/>
    <w:basedOn w:val="1"/>
    <w:next w:val="1"/>
    <w:link w:val="51"/>
    <w:autoRedefine/>
    <w:qFormat/>
    <w:uiPriority w:val="11"/>
    <w:pPr>
      <w:spacing w:before="200" w:after="200"/>
    </w:pPr>
  </w:style>
  <w:style w:type="paragraph" w:styleId="35">
    <w:name w:val="footnote text"/>
    <w:basedOn w:val="1"/>
    <w:link w:val="221"/>
    <w:autoRedefine/>
    <w:semiHidden/>
    <w:unhideWhenUsed/>
    <w:qFormat/>
    <w:uiPriority w:val="99"/>
    <w:rPr>
      <w:sz w:val="20"/>
      <w:szCs w:val="20"/>
    </w:rPr>
  </w:style>
  <w:style w:type="paragraph" w:styleId="36">
    <w:name w:val="toc 1"/>
    <w:basedOn w:val="1"/>
    <w:next w:val="1"/>
    <w:autoRedefine/>
    <w:unhideWhenUsed/>
    <w:qFormat/>
    <w:uiPriority w:val="39"/>
    <w:pPr>
      <w:spacing w:after="57"/>
    </w:pPr>
  </w:style>
  <w:style w:type="paragraph" w:styleId="37">
    <w:name w:val="Body Text Indent"/>
    <w:basedOn w:val="1"/>
    <w:link w:val="293"/>
    <w:autoRedefine/>
    <w:qFormat/>
    <w:uiPriority w:val="0"/>
    <w:pPr>
      <w:ind w:firstLine="708"/>
    </w:pPr>
    <w:rPr>
      <w:color w:val="000000"/>
      <w:sz w:val="28"/>
    </w:rPr>
  </w:style>
  <w:style w:type="table" w:styleId="38">
    <w:name w:val="Table Grid"/>
    <w:basedOn w:val="4"/>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9">
    <w:name w:val="Heading 1 Char"/>
    <w:basedOn w:val="3"/>
    <w:autoRedefine/>
    <w:qFormat/>
    <w:uiPriority w:val="9"/>
    <w:rPr>
      <w:rFonts w:ascii="Arial" w:hAnsi="Arial" w:eastAsia="Arial" w:cs="Arial"/>
      <w:sz w:val="40"/>
      <w:szCs w:val="40"/>
    </w:rPr>
  </w:style>
  <w:style w:type="character" w:customStyle="1" w:styleId="40">
    <w:name w:val="Heading 2 Char"/>
    <w:basedOn w:val="3"/>
    <w:autoRedefine/>
    <w:qFormat/>
    <w:uiPriority w:val="9"/>
    <w:rPr>
      <w:rFonts w:ascii="Arial" w:hAnsi="Arial" w:eastAsia="Arial" w:cs="Arial"/>
      <w:sz w:val="34"/>
    </w:rPr>
  </w:style>
  <w:style w:type="character" w:customStyle="1" w:styleId="41">
    <w:name w:val="Heading 3 Char"/>
    <w:basedOn w:val="3"/>
    <w:autoRedefine/>
    <w:qFormat/>
    <w:uiPriority w:val="9"/>
    <w:rPr>
      <w:rFonts w:ascii="Arial" w:hAnsi="Arial" w:eastAsia="Arial" w:cs="Arial"/>
      <w:sz w:val="30"/>
      <w:szCs w:val="30"/>
    </w:rPr>
  </w:style>
  <w:style w:type="character" w:customStyle="1" w:styleId="42">
    <w:name w:val="Heading 4 Char"/>
    <w:basedOn w:val="3"/>
    <w:autoRedefine/>
    <w:qFormat/>
    <w:uiPriority w:val="9"/>
    <w:rPr>
      <w:rFonts w:ascii="Arial" w:hAnsi="Arial" w:eastAsia="Arial" w:cs="Arial"/>
      <w:b/>
      <w:bCs/>
      <w:sz w:val="26"/>
      <w:szCs w:val="26"/>
    </w:rPr>
  </w:style>
  <w:style w:type="character" w:customStyle="1" w:styleId="43">
    <w:name w:val="Heading 5 Char"/>
    <w:basedOn w:val="3"/>
    <w:autoRedefine/>
    <w:qFormat/>
    <w:uiPriority w:val="9"/>
    <w:rPr>
      <w:rFonts w:ascii="Arial" w:hAnsi="Arial" w:eastAsia="Arial" w:cs="Arial"/>
      <w:b/>
      <w:bCs/>
      <w:sz w:val="24"/>
      <w:szCs w:val="24"/>
    </w:rPr>
  </w:style>
  <w:style w:type="character" w:customStyle="1" w:styleId="44">
    <w:name w:val="Heading 6 Char"/>
    <w:basedOn w:val="3"/>
    <w:autoRedefine/>
    <w:qFormat/>
    <w:uiPriority w:val="9"/>
    <w:rPr>
      <w:rFonts w:ascii="Arial" w:hAnsi="Arial" w:eastAsia="Arial" w:cs="Arial"/>
      <w:b/>
      <w:bCs/>
      <w:sz w:val="22"/>
      <w:szCs w:val="22"/>
    </w:rPr>
  </w:style>
  <w:style w:type="character" w:customStyle="1" w:styleId="45">
    <w:name w:val="Heading 7 Char"/>
    <w:basedOn w:val="3"/>
    <w:autoRedefine/>
    <w:qFormat/>
    <w:uiPriority w:val="9"/>
    <w:rPr>
      <w:rFonts w:ascii="Arial" w:hAnsi="Arial" w:eastAsia="Arial" w:cs="Arial"/>
      <w:b/>
      <w:bCs/>
      <w:i/>
      <w:iCs/>
      <w:sz w:val="22"/>
      <w:szCs w:val="22"/>
    </w:rPr>
  </w:style>
  <w:style w:type="paragraph" w:customStyle="1" w:styleId="46">
    <w:name w:val="Título 81"/>
    <w:basedOn w:val="1"/>
    <w:next w:val="1"/>
    <w:link w:val="47"/>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47">
    <w:name w:val="Heading 8 Char"/>
    <w:basedOn w:val="3"/>
    <w:link w:val="46"/>
    <w:autoRedefine/>
    <w:qFormat/>
    <w:uiPriority w:val="9"/>
    <w:rPr>
      <w:rFonts w:ascii="Arial" w:hAnsi="Arial" w:eastAsia="Arial" w:cs="Arial"/>
      <w:i/>
      <w:iCs/>
      <w:sz w:val="22"/>
      <w:szCs w:val="22"/>
    </w:rPr>
  </w:style>
  <w:style w:type="paragraph" w:customStyle="1" w:styleId="48">
    <w:name w:val="Título 91"/>
    <w:basedOn w:val="1"/>
    <w:next w:val="1"/>
    <w:link w:val="49"/>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49">
    <w:name w:val="Heading 9 Char"/>
    <w:basedOn w:val="3"/>
    <w:link w:val="48"/>
    <w:autoRedefine/>
    <w:qFormat/>
    <w:uiPriority w:val="9"/>
    <w:rPr>
      <w:rFonts w:ascii="Arial" w:hAnsi="Arial" w:eastAsia="Arial" w:cs="Arial"/>
      <w:i/>
      <w:iCs/>
      <w:sz w:val="21"/>
      <w:szCs w:val="21"/>
    </w:rPr>
  </w:style>
  <w:style w:type="character" w:customStyle="1" w:styleId="50">
    <w:name w:val="Title Char"/>
    <w:basedOn w:val="3"/>
    <w:autoRedefine/>
    <w:qFormat/>
    <w:uiPriority w:val="10"/>
    <w:rPr>
      <w:sz w:val="48"/>
      <w:szCs w:val="48"/>
    </w:rPr>
  </w:style>
  <w:style w:type="character" w:customStyle="1" w:styleId="51">
    <w:name w:val="Subtítulo Char"/>
    <w:basedOn w:val="3"/>
    <w:link w:val="34"/>
    <w:autoRedefine/>
    <w:qFormat/>
    <w:uiPriority w:val="11"/>
    <w:rPr>
      <w:sz w:val="24"/>
      <w:szCs w:val="24"/>
    </w:rPr>
  </w:style>
  <w:style w:type="character" w:customStyle="1" w:styleId="52">
    <w:name w:val="Quote Char"/>
    <w:autoRedefine/>
    <w:qFormat/>
    <w:uiPriority w:val="29"/>
    <w:rPr>
      <w:i/>
    </w:rPr>
  </w:style>
  <w:style w:type="paragraph" w:styleId="53">
    <w:name w:val="Intense Quote"/>
    <w:basedOn w:val="1"/>
    <w:next w:val="1"/>
    <w:link w:val="54"/>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4">
    <w:name w:val="Citação Intensa Char"/>
    <w:link w:val="53"/>
    <w:autoRedefine/>
    <w:qFormat/>
    <w:uiPriority w:val="30"/>
    <w:rPr>
      <w:i/>
    </w:rPr>
  </w:style>
  <w:style w:type="character" w:customStyle="1" w:styleId="55">
    <w:name w:val="Header Char"/>
    <w:basedOn w:val="3"/>
    <w:autoRedefine/>
    <w:qFormat/>
    <w:uiPriority w:val="99"/>
  </w:style>
  <w:style w:type="character" w:customStyle="1" w:styleId="56">
    <w:name w:val="Footer Char"/>
    <w:basedOn w:val="3"/>
    <w:autoRedefine/>
    <w:qFormat/>
    <w:uiPriority w:val="99"/>
  </w:style>
  <w:style w:type="paragraph" w:customStyle="1" w:styleId="57">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58">
    <w:name w:val="Caption Char"/>
    <w:autoRedefine/>
    <w:qFormat/>
    <w:uiPriority w:val="99"/>
  </w:style>
  <w:style w:type="table" w:customStyle="1" w:styleId="59">
    <w:name w:val="Table Grid Light"/>
    <w:basedOn w:val="4"/>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0">
    <w:name w:val="Tabela Simples 11"/>
    <w:basedOn w:val="4"/>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1">
    <w:name w:val="Tabela Simples 21"/>
    <w:basedOn w:val="4"/>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2">
    <w:name w:val="Tabela Simples 31"/>
    <w:basedOn w:val="4"/>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3">
    <w:name w:val="Tabela Simples 41"/>
    <w:basedOn w:val="4"/>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4">
    <w:name w:val="Tabela Simples 51"/>
    <w:basedOn w:val="4"/>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5">
    <w:name w:val="Tabela de Grade 1 Clara1"/>
    <w:basedOn w:val="4"/>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6">
    <w:name w:val="Grid Table 1 Light - Accent 1"/>
    <w:basedOn w:val="4"/>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7">
    <w:name w:val="Grid Table 1 Light - Accent 2"/>
    <w:basedOn w:val="4"/>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8">
    <w:name w:val="Grid Table 1 Light - Accent 3"/>
    <w:basedOn w:val="4"/>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9">
    <w:name w:val="Grid Table 1 Light - Accent 4"/>
    <w:basedOn w:val="4"/>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0">
    <w:name w:val="Grid Table 1 Light - Accent 5"/>
    <w:basedOn w:val="4"/>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1">
    <w:name w:val="Grid Table 1 Light - Accent 6"/>
    <w:basedOn w:val="4"/>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2">
    <w:name w:val="Tabela de Grade 21"/>
    <w:basedOn w:val="4"/>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3">
    <w:name w:val="Grid Table 2 - Accent 1"/>
    <w:basedOn w:val="4"/>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4">
    <w:name w:val="Grid Table 2 - Accent 2"/>
    <w:basedOn w:val="4"/>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5">
    <w:name w:val="Grid Table 2 - Accent 3"/>
    <w:basedOn w:val="4"/>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76">
    <w:name w:val="Grid Table 2 - Accent 4"/>
    <w:basedOn w:val="4"/>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77">
    <w:name w:val="Grid Table 2 - Accent 5"/>
    <w:basedOn w:val="4"/>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78">
    <w:name w:val="Grid Table 2 - Accent 6"/>
    <w:basedOn w:val="4"/>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79">
    <w:name w:val="Tabela de Grade 31"/>
    <w:basedOn w:val="4"/>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0">
    <w:name w:val="Grid Table 3 - Accent 1"/>
    <w:basedOn w:val="4"/>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1">
    <w:name w:val="Grid Table 3 - Accent 2"/>
    <w:basedOn w:val="4"/>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2">
    <w:name w:val="Grid Table 3 - Accent 3"/>
    <w:basedOn w:val="4"/>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3">
    <w:name w:val="Grid Table 3 - Accent 4"/>
    <w:basedOn w:val="4"/>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4">
    <w:name w:val="Grid Table 3 - Accent 5"/>
    <w:basedOn w:val="4"/>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5">
    <w:name w:val="Grid Table 3 - Accent 6"/>
    <w:basedOn w:val="4"/>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6">
    <w:name w:val="Tabela de Grade 41"/>
    <w:basedOn w:val="4"/>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7">
    <w:name w:val="Grid Table 4 - Accent 1"/>
    <w:basedOn w:val="4"/>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88">
    <w:name w:val="Grid Table 4 - Accent 2"/>
    <w:basedOn w:val="4"/>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9">
    <w:name w:val="Grid Table 4 - Accent 3"/>
    <w:basedOn w:val="4"/>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0">
    <w:name w:val="Grid Table 4 - Accent 4"/>
    <w:basedOn w:val="4"/>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1">
    <w:name w:val="Grid Table 4 - Accent 5"/>
    <w:basedOn w:val="4"/>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2">
    <w:name w:val="Grid Table 4 - Accent 6"/>
    <w:basedOn w:val="4"/>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3">
    <w:name w:val="Tabela de Grade 5 Escura1"/>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4">
    <w:name w:val="Grid Table 5 Dark- Accent 1"/>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5">
    <w:name w:val="Grid Table 5 Dark - Accent 2"/>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96">
    <w:name w:val="Grid Table 5 Dark - Accent 3"/>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97">
    <w:name w:val="Grid Table 5 Dark- Accent 4"/>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98">
    <w:name w:val="Grid Table 5 Dark - Accent 5"/>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99">
    <w:name w:val="Grid Table 5 Dark - Accent 6"/>
    <w:basedOn w:val="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0">
    <w:name w:val="Tabela de Grade 6 Colorida1"/>
    <w:basedOn w:val="4"/>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1">
    <w:name w:val="Grid Table 6 Colorful - Accent 1"/>
    <w:basedOn w:val="4"/>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2">
    <w:name w:val="Grid Table 6 Colorful - Accent 2"/>
    <w:basedOn w:val="4"/>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3">
    <w:name w:val="Grid Table 6 Colorful - Accent 3"/>
    <w:basedOn w:val="4"/>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4">
    <w:name w:val="Grid Table 6 Colorful - Accent 4"/>
    <w:basedOn w:val="4"/>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5">
    <w:name w:val="Grid Table 6 Colorful - Accent 5"/>
    <w:basedOn w:val="4"/>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06">
    <w:name w:val="Grid Table 6 Colorful - Accent 6"/>
    <w:basedOn w:val="4"/>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07">
    <w:name w:val="Tabela de Grade 7 Colorida1"/>
    <w:basedOn w:val="4"/>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8">
    <w:name w:val="Grid Table 7 Colorful - Accent 1"/>
    <w:basedOn w:val="4"/>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9">
    <w:name w:val="Grid Table 7 Colorful - Accent 2"/>
    <w:basedOn w:val="4"/>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0">
    <w:name w:val="Grid Table 7 Colorful - Accent 3"/>
    <w:basedOn w:val="4"/>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1">
    <w:name w:val="Grid Table 7 Colorful - Accent 4"/>
    <w:basedOn w:val="4"/>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2">
    <w:name w:val="Grid Table 7 Colorful - Accent 5"/>
    <w:basedOn w:val="4"/>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3">
    <w:name w:val="Grid Table 7 Colorful - Accent 6"/>
    <w:basedOn w:val="4"/>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4">
    <w:name w:val="Tabela de Lista 1 Clara1"/>
    <w:basedOn w:val="4"/>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5">
    <w:name w:val="List Table 1 Light - Accent 1"/>
    <w:basedOn w:val="4"/>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16">
    <w:name w:val="List Table 1 Light - Accent 2"/>
    <w:basedOn w:val="4"/>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17">
    <w:name w:val="List Table 1 Light - Accent 3"/>
    <w:basedOn w:val="4"/>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18">
    <w:name w:val="List Table 1 Light - Accent 4"/>
    <w:basedOn w:val="4"/>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19">
    <w:name w:val="List Table 1 Light - Accent 5"/>
    <w:basedOn w:val="4"/>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0">
    <w:name w:val="List Table 1 Light - Accent 6"/>
    <w:basedOn w:val="4"/>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1">
    <w:name w:val="Tabela de Lista 21"/>
    <w:basedOn w:val="4"/>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2">
    <w:name w:val="List Table 2 - Accent 1"/>
    <w:basedOn w:val="4"/>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3">
    <w:name w:val="List Table 2 - Accent 2"/>
    <w:basedOn w:val="4"/>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4">
    <w:name w:val="List Table 2 - Accent 3"/>
    <w:basedOn w:val="4"/>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5">
    <w:name w:val="List Table 2 - Accent 4"/>
    <w:basedOn w:val="4"/>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26">
    <w:name w:val="List Table 2 - Accent 5"/>
    <w:basedOn w:val="4"/>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27">
    <w:name w:val="List Table 2 - Accent 6"/>
    <w:basedOn w:val="4"/>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28">
    <w:name w:val="Tabela de Lista 31"/>
    <w:basedOn w:val="4"/>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9">
    <w:name w:val="List Table 3 - Accent 1"/>
    <w:basedOn w:val="4"/>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0">
    <w:name w:val="List Table 3 - Accent 2"/>
    <w:basedOn w:val="4"/>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1">
    <w:name w:val="List Table 3 - Accent 3"/>
    <w:basedOn w:val="4"/>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2">
    <w:name w:val="List Table 3 - Accent 4"/>
    <w:basedOn w:val="4"/>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3">
    <w:name w:val="List Table 3 - Accent 5"/>
    <w:basedOn w:val="4"/>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4">
    <w:name w:val="List Table 3 - Accent 6"/>
    <w:basedOn w:val="4"/>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5">
    <w:name w:val="Tabela de Lista 41"/>
    <w:basedOn w:val="4"/>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36">
    <w:name w:val="List Table 4 - Accent 1"/>
    <w:basedOn w:val="4"/>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37">
    <w:name w:val="List Table 4 - Accent 2"/>
    <w:basedOn w:val="4"/>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38">
    <w:name w:val="List Table 4 - Accent 3"/>
    <w:basedOn w:val="4"/>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39">
    <w:name w:val="List Table 4 - Accent 4"/>
    <w:basedOn w:val="4"/>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0">
    <w:name w:val="List Table 4 - Accent 5"/>
    <w:basedOn w:val="4"/>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1">
    <w:name w:val="List Table 4 - Accent 6"/>
    <w:basedOn w:val="4"/>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2">
    <w:name w:val="Tabela de Lista 5 Escura1"/>
    <w:basedOn w:val="4"/>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3">
    <w:name w:val="List Table 5 Dark - Accent 1"/>
    <w:basedOn w:val="4"/>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4">
    <w:name w:val="List Table 5 Dark - Accent 2"/>
    <w:basedOn w:val="4"/>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5">
    <w:name w:val="List Table 5 Dark - Accent 3"/>
    <w:basedOn w:val="4"/>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46">
    <w:name w:val="List Table 5 Dark - Accent 4"/>
    <w:basedOn w:val="4"/>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47">
    <w:name w:val="List Table 5 Dark - Accent 5"/>
    <w:basedOn w:val="4"/>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48">
    <w:name w:val="List Table 5 Dark - Accent 6"/>
    <w:basedOn w:val="4"/>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49">
    <w:name w:val="Tabela de Lista 6 Colorida1"/>
    <w:basedOn w:val="4"/>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0">
    <w:name w:val="List Table 6 Colorful - Accent 1"/>
    <w:basedOn w:val="4"/>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1">
    <w:name w:val="List Table 6 Colorful - Accent 2"/>
    <w:basedOn w:val="4"/>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2">
    <w:name w:val="List Table 6 Colorful - Accent 3"/>
    <w:basedOn w:val="4"/>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3">
    <w:name w:val="List Table 6 Colorful - Accent 4"/>
    <w:basedOn w:val="4"/>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4">
    <w:name w:val="List Table 6 Colorful - Accent 5"/>
    <w:basedOn w:val="4"/>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5">
    <w:name w:val="List Table 6 Colorful - Accent 6"/>
    <w:basedOn w:val="4"/>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6">
    <w:name w:val="Tabela de Lista 7 Colorida1"/>
    <w:basedOn w:val="4"/>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7">
    <w:name w:val="List Table 7 Colorful - Accent 1"/>
    <w:basedOn w:val="4"/>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8">
    <w:name w:val="List Table 7 Colorful - Accent 2"/>
    <w:basedOn w:val="4"/>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9">
    <w:name w:val="List Table 7 Colorful - Accent 3"/>
    <w:basedOn w:val="4"/>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0">
    <w:name w:val="List Table 7 Colorful - Accent 4"/>
    <w:basedOn w:val="4"/>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1">
    <w:name w:val="List Table 7 Colorful - Accent 5"/>
    <w:basedOn w:val="4"/>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2">
    <w:name w:val="List Table 7 Colorful - Accent 6"/>
    <w:basedOn w:val="4"/>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3">
    <w:name w:val="Lined - Accent"/>
    <w:basedOn w:val="4"/>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4">
    <w:name w:val="Lined - Accent 1"/>
    <w:basedOn w:val="4"/>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5">
    <w:name w:val="Lined - Accent 2"/>
    <w:basedOn w:val="4"/>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66">
    <w:name w:val="Lined - Accent 3"/>
    <w:basedOn w:val="4"/>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67">
    <w:name w:val="Lined - Accent 4"/>
    <w:basedOn w:val="4"/>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68">
    <w:name w:val="Lined - Accent 5"/>
    <w:basedOn w:val="4"/>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69">
    <w:name w:val="Lined - Accent 6"/>
    <w:basedOn w:val="4"/>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0">
    <w:name w:val="Bordered &amp; Lined - Accent"/>
    <w:basedOn w:val="4"/>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1">
    <w:name w:val="Bordered &amp; Lined - Accent 1"/>
    <w:basedOn w:val="4"/>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2">
    <w:name w:val="Bordered &amp; Lined - Accent 2"/>
    <w:basedOn w:val="4"/>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3">
    <w:name w:val="Bordered &amp; Lined - Accent 3"/>
    <w:basedOn w:val="4"/>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4">
    <w:name w:val="Bordered &amp; Lined - Accent 4"/>
    <w:basedOn w:val="4"/>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5">
    <w:name w:val="Bordered &amp; Lined - Accent 5"/>
    <w:basedOn w:val="4"/>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6">
    <w:name w:val="Bordered &amp; Lined - Accent 6"/>
    <w:basedOn w:val="4"/>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7">
    <w:name w:val="Bordered"/>
    <w:basedOn w:val="4"/>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8">
    <w:name w:val="Bordered - Accent 1"/>
    <w:basedOn w:val="4"/>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9">
    <w:name w:val="Bordered - Accent 2"/>
    <w:basedOn w:val="4"/>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0">
    <w:name w:val="Bordered - Accent 3"/>
    <w:basedOn w:val="4"/>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1">
    <w:name w:val="Bordered - Accent 4"/>
    <w:basedOn w:val="4"/>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2">
    <w:name w:val="Bordered - Accent 5"/>
    <w:basedOn w:val="4"/>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3">
    <w:name w:val="Bordered - Accent 6"/>
    <w:basedOn w:val="4"/>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4">
    <w:name w:val="Footnote Text Char"/>
    <w:autoRedefine/>
    <w:qFormat/>
    <w:uiPriority w:val="99"/>
    <w:rPr>
      <w:sz w:val="18"/>
    </w:rPr>
  </w:style>
  <w:style w:type="character" w:customStyle="1" w:styleId="185">
    <w:name w:val="Endnote Text Char"/>
    <w:autoRedefine/>
    <w:qFormat/>
    <w:uiPriority w:val="99"/>
    <w:rPr>
      <w:sz w:val="20"/>
    </w:rPr>
  </w:style>
  <w:style w:type="paragraph" w:customStyle="1" w:styleId="186">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87">
    <w:name w:val="Título 11"/>
    <w:basedOn w:val="1"/>
    <w:next w:val="1"/>
    <w:autoRedefine/>
    <w:qFormat/>
    <w:uiPriority w:val="0"/>
    <w:pPr>
      <w:keepNext/>
      <w:spacing w:before="240" w:after="60"/>
      <w:outlineLvl w:val="0"/>
    </w:pPr>
    <w:rPr>
      <w:rFonts w:ascii="Arial" w:hAnsi="Arial" w:cs="Arial"/>
      <w:b/>
      <w:bCs/>
      <w:sz w:val="32"/>
      <w:szCs w:val="32"/>
    </w:rPr>
  </w:style>
  <w:style w:type="paragraph" w:customStyle="1" w:styleId="188">
    <w:name w:val="Título 21"/>
    <w:basedOn w:val="1"/>
    <w:next w:val="1"/>
    <w:link w:val="195"/>
    <w:autoRedefine/>
    <w:qFormat/>
    <w:uiPriority w:val="0"/>
    <w:pPr>
      <w:keepNext/>
      <w:jc w:val="center"/>
      <w:outlineLvl w:val="1"/>
    </w:pPr>
    <w:rPr>
      <w:b/>
      <w:bCs/>
    </w:rPr>
  </w:style>
  <w:style w:type="paragraph" w:customStyle="1" w:styleId="189">
    <w:name w:val="Título 31"/>
    <w:basedOn w:val="1"/>
    <w:next w:val="1"/>
    <w:link w:val="196"/>
    <w:autoRedefine/>
    <w:qFormat/>
    <w:uiPriority w:val="0"/>
    <w:pPr>
      <w:keepNext/>
      <w:spacing w:before="240" w:after="60"/>
      <w:outlineLvl w:val="2"/>
    </w:pPr>
    <w:rPr>
      <w:rFonts w:ascii="Arial" w:hAnsi="Arial" w:cs="Arial"/>
      <w:b/>
      <w:bCs/>
      <w:sz w:val="26"/>
      <w:szCs w:val="26"/>
    </w:rPr>
  </w:style>
  <w:style w:type="paragraph" w:customStyle="1" w:styleId="190">
    <w:name w:val="Título 41"/>
    <w:next w:val="1"/>
    <w:link w:val="289"/>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1">
    <w:name w:val="Título 51"/>
    <w:basedOn w:val="1"/>
    <w:next w:val="1"/>
    <w:link w:val="290"/>
    <w:autoRedefine/>
    <w:qFormat/>
    <w:uiPriority w:val="0"/>
    <w:pPr>
      <w:spacing w:before="240" w:after="60"/>
      <w:outlineLvl w:val="4"/>
    </w:pPr>
    <w:rPr>
      <w:b/>
      <w:bCs/>
      <w:i/>
      <w:iCs/>
      <w:sz w:val="26"/>
      <w:szCs w:val="26"/>
    </w:rPr>
  </w:style>
  <w:style w:type="paragraph" w:customStyle="1" w:styleId="192">
    <w:name w:val="Título 61"/>
    <w:basedOn w:val="1"/>
    <w:next w:val="1"/>
    <w:link w:val="291"/>
    <w:autoRedefine/>
    <w:qFormat/>
    <w:uiPriority w:val="0"/>
    <w:pPr>
      <w:spacing w:before="240" w:after="60"/>
      <w:outlineLvl w:val="5"/>
    </w:pPr>
    <w:rPr>
      <w:b/>
      <w:bCs/>
      <w:sz w:val="22"/>
      <w:szCs w:val="22"/>
    </w:rPr>
  </w:style>
  <w:style w:type="paragraph" w:customStyle="1" w:styleId="193">
    <w:name w:val="Título 71"/>
    <w:basedOn w:val="1"/>
    <w:next w:val="1"/>
    <w:link w:val="292"/>
    <w:autoRedefine/>
    <w:qFormat/>
    <w:uiPriority w:val="0"/>
    <w:pPr>
      <w:spacing w:before="240" w:after="60"/>
      <w:outlineLvl w:val="6"/>
    </w:pPr>
  </w:style>
  <w:style w:type="character" w:customStyle="1" w:styleId="194">
    <w:name w:val="Título 1 Char"/>
    <w:basedOn w:val="3"/>
    <w:link w:val="2"/>
    <w:autoRedefine/>
    <w:qFormat/>
    <w:uiPriority w:val="9"/>
    <w:rPr>
      <w:rFonts w:asciiTheme="majorHAnsi" w:hAnsiTheme="majorHAnsi" w:eastAsiaTheme="majorEastAsia" w:cstheme="majorBidi"/>
      <w:b/>
      <w:bCs/>
      <w:color w:val="376092" w:themeColor="accent1" w:themeShade="BF"/>
      <w:sz w:val="28"/>
      <w:szCs w:val="28"/>
      <w:lang w:eastAsia="en-US"/>
    </w:rPr>
  </w:style>
  <w:style w:type="character" w:customStyle="1" w:styleId="195">
    <w:name w:val="Título 2 Char"/>
    <w:basedOn w:val="3"/>
    <w:link w:val="188"/>
    <w:autoRedefine/>
    <w:qFormat/>
    <w:uiPriority w:val="99"/>
    <w:rPr>
      <w:rFonts w:ascii="Times New Roman" w:hAnsi="Times New Roman" w:eastAsia="Times New Roman" w:cs="Times New Roman"/>
      <w:b/>
      <w:bCs/>
      <w:sz w:val="24"/>
      <w:szCs w:val="24"/>
      <w:lang w:eastAsia="pt-BR"/>
    </w:rPr>
  </w:style>
  <w:style w:type="character" w:customStyle="1" w:styleId="196">
    <w:name w:val="Título 3 Char"/>
    <w:basedOn w:val="3"/>
    <w:link w:val="189"/>
    <w:autoRedefine/>
    <w:qFormat/>
    <w:uiPriority w:val="99"/>
    <w:rPr>
      <w:rFonts w:ascii="Arial" w:hAnsi="Arial" w:eastAsia="Times New Roman" w:cs="Arial"/>
      <w:b/>
      <w:bCs/>
      <w:sz w:val="26"/>
      <w:szCs w:val="26"/>
      <w:lang w:eastAsia="pt-BR"/>
    </w:rPr>
  </w:style>
  <w:style w:type="paragraph" w:customStyle="1" w:styleId="197">
    <w:name w:val="WW-Corpo de texto 2"/>
    <w:basedOn w:val="1"/>
    <w:autoRedefine/>
    <w:qFormat/>
    <w:uiPriority w:val="99"/>
    <w:pPr>
      <w:widowControl w:val="0"/>
      <w:tabs>
        <w:tab w:val="left" w:pos="5954"/>
      </w:tabs>
      <w:jc w:val="both"/>
    </w:pPr>
    <w:rPr>
      <w:sz w:val="20"/>
      <w:szCs w:val="20"/>
    </w:rPr>
  </w:style>
  <w:style w:type="character" w:customStyle="1" w:styleId="198">
    <w:name w:val="Corpo de texto Char"/>
    <w:basedOn w:val="3"/>
    <w:link w:val="14"/>
    <w:autoRedefine/>
    <w:qFormat/>
    <w:uiPriority w:val="0"/>
    <w:rPr>
      <w:rFonts w:ascii="Times New Roman" w:hAnsi="Times New Roman" w:eastAsia="Times New Roman" w:cs="Times New Roman"/>
      <w:b/>
      <w:bCs/>
      <w:sz w:val="24"/>
      <w:szCs w:val="24"/>
      <w:lang w:eastAsia="pt-BR"/>
    </w:rPr>
  </w:style>
  <w:style w:type="paragraph" w:customStyle="1" w:styleId="199">
    <w:name w:val="Cabeçalho1"/>
    <w:basedOn w:val="1"/>
    <w:link w:val="200"/>
    <w:autoRedefine/>
    <w:qFormat/>
    <w:uiPriority w:val="99"/>
    <w:pPr>
      <w:tabs>
        <w:tab w:val="center" w:pos="4252"/>
        <w:tab w:val="right" w:pos="8504"/>
      </w:tabs>
    </w:pPr>
  </w:style>
  <w:style w:type="character" w:customStyle="1" w:styleId="200">
    <w:name w:val="Cabeçalho Char"/>
    <w:basedOn w:val="3"/>
    <w:link w:val="199"/>
    <w:autoRedefine/>
    <w:qFormat/>
    <w:uiPriority w:val="99"/>
    <w:rPr>
      <w:rFonts w:ascii="Times New Roman" w:hAnsi="Times New Roman" w:eastAsia="Times New Roman" w:cs="Times New Roman"/>
      <w:sz w:val="24"/>
      <w:szCs w:val="24"/>
      <w:lang w:eastAsia="pt-BR"/>
    </w:rPr>
  </w:style>
  <w:style w:type="paragraph" w:customStyle="1" w:styleId="201">
    <w:name w:val="Rodapé1"/>
    <w:basedOn w:val="1"/>
    <w:link w:val="202"/>
    <w:autoRedefine/>
    <w:qFormat/>
    <w:uiPriority w:val="99"/>
    <w:pPr>
      <w:tabs>
        <w:tab w:val="center" w:pos="4252"/>
        <w:tab w:val="right" w:pos="8504"/>
      </w:tabs>
    </w:pPr>
  </w:style>
  <w:style w:type="character" w:customStyle="1" w:styleId="202">
    <w:name w:val="Rodapé Char"/>
    <w:basedOn w:val="3"/>
    <w:link w:val="201"/>
    <w:autoRedefine/>
    <w:qFormat/>
    <w:uiPriority w:val="99"/>
    <w:rPr>
      <w:rFonts w:ascii="Times New Roman" w:hAnsi="Times New Roman" w:eastAsia="Times New Roman" w:cs="Times New Roman"/>
      <w:sz w:val="24"/>
      <w:szCs w:val="24"/>
      <w:lang w:eastAsia="pt-BR"/>
    </w:rPr>
  </w:style>
  <w:style w:type="character" w:customStyle="1" w:styleId="203">
    <w:name w:val="Texto de balão Char"/>
    <w:basedOn w:val="3"/>
    <w:link w:val="33"/>
    <w:autoRedefine/>
    <w:qFormat/>
    <w:uiPriority w:val="0"/>
    <w:rPr>
      <w:rFonts w:ascii="Tahoma" w:hAnsi="Tahoma" w:eastAsia="Times New Roman" w:cs="Tahoma"/>
      <w:sz w:val="16"/>
      <w:szCs w:val="16"/>
      <w:lang w:eastAsia="pt-BR"/>
    </w:rPr>
  </w:style>
  <w:style w:type="character" w:customStyle="1" w:styleId="204">
    <w:name w:val="Corpo de texto 3 Char"/>
    <w:basedOn w:val="3"/>
    <w:link w:val="24"/>
    <w:autoRedefine/>
    <w:qFormat/>
    <w:uiPriority w:val="99"/>
    <w:rPr>
      <w:rFonts w:ascii="Times New Roman" w:hAnsi="Times New Roman" w:eastAsia="Times New Roman" w:cs="Times New Roman"/>
      <w:sz w:val="16"/>
      <w:szCs w:val="16"/>
      <w:lang w:eastAsia="pt-BR"/>
    </w:rPr>
  </w:style>
  <w:style w:type="character" w:customStyle="1" w:styleId="205">
    <w:name w:val="Título Char"/>
    <w:basedOn w:val="3"/>
    <w:link w:val="19"/>
    <w:autoRedefine/>
    <w:qFormat/>
    <w:uiPriority w:val="99"/>
    <w:rPr>
      <w:rFonts w:ascii="Times New Roman" w:hAnsi="Times New Roman" w:eastAsia="Times New Roman" w:cs="Times New Roman"/>
      <w:b/>
      <w:bCs/>
      <w:sz w:val="40"/>
      <w:szCs w:val="24"/>
      <w:lang w:eastAsia="pt-BR"/>
    </w:rPr>
  </w:style>
  <w:style w:type="character" w:customStyle="1" w:styleId="206">
    <w:name w:val="tex3"/>
    <w:basedOn w:val="3"/>
    <w:autoRedefine/>
    <w:qFormat/>
    <w:uiPriority w:val="0"/>
    <w:rPr>
      <w:rFonts w:cs="Times New Roman"/>
    </w:rPr>
  </w:style>
  <w:style w:type="character" w:customStyle="1" w:styleId="207">
    <w:name w:val="tex31"/>
    <w:basedOn w:val="3"/>
    <w:autoRedefine/>
    <w:qFormat/>
    <w:uiPriority w:val="99"/>
    <w:rPr>
      <w:rFonts w:ascii="Verdana" w:hAnsi="Verdana" w:cs="Times New Roman"/>
      <w:color w:val="000000"/>
      <w:sz w:val="11"/>
      <w:szCs w:val="11"/>
    </w:rPr>
  </w:style>
  <w:style w:type="character" w:customStyle="1" w:styleId="208">
    <w:name w:val="Corpo de texto 2 Char"/>
    <w:basedOn w:val="3"/>
    <w:link w:val="26"/>
    <w:autoRedefine/>
    <w:qFormat/>
    <w:uiPriority w:val="99"/>
    <w:rPr>
      <w:rFonts w:ascii="Times New Roman" w:hAnsi="Times New Roman" w:eastAsia="Times New Roman" w:cs="Times New Roman"/>
      <w:sz w:val="24"/>
      <w:szCs w:val="24"/>
      <w:lang w:eastAsia="pt-BR"/>
    </w:rPr>
  </w:style>
  <w:style w:type="character" w:customStyle="1" w:styleId="209">
    <w:name w:val="apple-style-span"/>
    <w:basedOn w:val="3"/>
    <w:autoRedefine/>
    <w:qFormat/>
    <w:uiPriority w:val="99"/>
    <w:rPr>
      <w:rFonts w:cs="Times New Roman"/>
    </w:rPr>
  </w:style>
  <w:style w:type="character" w:customStyle="1" w:styleId="210">
    <w:name w:val="color1"/>
    <w:basedOn w:val="3"/>
    <w:autoRedefine/>
    <w:qFormat/>
    <w:uiPriority w:val="99"/>
    <w:rPr>
      <w:rFonts w:ascii="Arial" w:hAnsi="Arial" w:cs="Arial"/>
      <w:color w:val="000000"/>
    </w:rPr>
  </w:style>
  <w:style w:type="character" w:customStyle="1" w:styleId="211">
    <w:name w:val="glossario1"/>
    <w:basedOn w:val="3"/>
    <w:autoRedefine/>
    <w:qFormat/>
    <w:uiPriority w:val="99"/>
    <w:rPr>
      <w:rFonts w:cs="Times New Roman"/>
      <w:b/>
      <w:bCs/>
      <w:color w:val="333333"/>
      <w:u w:val="single"/>
    </w:rPr>
  </w:style>
  <w:style w:type="character" w:customStyle="1" w:styleId="212">
    <w:name w:val="apple-converted-space"/>
    <w:basedOn w:val="3"/>
    <w:autoRedefine/>
    <w:qFormat/>
    <w:uiPriority w:val="0"/>
    <w:rPr>
      <w:rFonts w:cs="Times New Roman"/>
    </w:rPr>
  </w:style>
  <w:style w:type="character" w:customStyle="1" w:styleId="213">
    <w:name w:val="glossario-class"/>
    <w:basedOn w:val="3"/>
    <w:autoRedefine/>
    <w:qFormat/>
    <w:uiPriority w:val="99"/>
    <w:rPr>
      <w:rFonts w:cs="Times New Roman"/>
    </w:rPr>
  </w:style>
  <w:style w:type="character" w:customStyle="1" w:styleId="214">
    <w:name w:val="estdescrprod1"/>
    <w:basedOn w:val="3"/>
    <w:autoRedefine/>
    <w:qFormat/>
    <w:uiPriority w:val="99"/>
    <w:rPr>
      <w:rFonts w:ascii="Tahoma" w:hAnsi="Tahoma" w:cs="Tahoma"/>
      <w:color w:val="333333"/>
      <w:sz w:val="18"/>
      <w:szCs w:val="18"/>
    </w:rPr>
  </w:style>
  <w:style w:type="paragraph" w:customStyle="1" w:styleId="215">
    <w:name w:val="texto"/>
    <w:basedOn w:val="1"/>
    <w:autoRedefine/>
    <w:qFormat/>
    <w:uiPriority w:val="99"/>
    <w:pPr>
      <w:spacing w:before="100" w:beforeAutospacing="1" w:after="100" w:afterAutospacing="1"/>
    </w:pPr>
  </w:style>
  <w:style w:type="character" w:customStyle="1" w:styleId="216">
    <w:name w:val="txtproduto"/>
    <w:basedOn w:val="3"/>
    <w:autoRedefine/>
    <w:qFormat/>
    <w:uiPriority w:val="99"/>
    <w:rPr>
      <w:rFonts w:cs="Times New Roman"/>
    </w:rPr>
  </w:style>
  <w:style w:type="paragraph" w:customStyle="1" w:styleId="217">
    <w:name w:val="List Paragraph1"/>
    <w:basedOn w:val="1"/>
    <w:autoRedefine/>
    <w:qFormat/>
    <w:uiPriority w:val="99"/>
    <w:pPr>
      <w:ind w:left="720"/>
      <w:contextualSpacing/>
    </w:pPr>
  </w:style>
  <w:style w:type="paragraph" w:customStyle="1" w:styleId="218">
    <w:name w:val="western"/>
    <w:basedOn w:val="1"/>
    <w:autoRedefine/>
    <w:qFormat/>
    <w:uiPriority w:val="99"/>
    <w:pPr>
      <w:spacing w:before="100" w:beforeAutospacing="1" w:after="119"/>
    </w:pPr>
  </w:style>
  <w:style w:type="paragraph" w:customStyle="1" w:styleId="219">
    <w:name w:val="Default"/>
    <w:autoRedefine/>
    <w:qFormat/>
    <w:uiPriority w:val="0"/>
    <w:rPr>
      <w:rFonts w:ascii="Arial" w:hAnsi="Arial" w:eastAsia="Times New Roman" w:cs="Arial"/>
      <w:color w:val="000000"/>
      <w:sz w:val="24"/>
      <w:szCs w:val="24"/>
      <w:lang w:val="pt-BR" w:eastAsia="pt-BR" w:bidi="ar-SA"/>
    </w:rPr>
  </w:style>
  <w:style w:type="paragraph" w:styleId="220">
    <w:name w:val="List Paragraph"/>
    <w:basedOn w:val="1"/>
    <w:autoRedefine/>
    <w:qFormat/>
    <w:uiPriority w:val="34"/>
    <w:pPr>
      <w:ind w:left="720"/>
      <w:contextualSpacing/>
    </w:pPr>
  </w:style>
  <w:style w:type="character" w:customStyle="1" w:styleId="221">
    <w:name w:val="Texto de nota de rodapé Char"/>
    <w:basedOn w:val="3"/>
    <w:link w:val="35"/>
    <w:autoRedefine/>
    <w:semiHidden/>
    <w:qFormat/>
    <w:uiPriority w:val="99"/>
    <w:rPr>
      <w:rFonts w:ascii="Times New Roman" w:hAnsi="Times New Roman" w:eastAsia="Times New Roman" w:cs="Times New Roman"/>
      <w:sz w:val="20"/>
      <w:szCs w:val="20"/>
      <w:lang w:eastAsia="pt-BR"/>
    </w:rPr>
  </w:style>
  <w:style w:type="table" w:customStyle="1" w:styleId="222">
    <w:name w:val="Sombreamento Claro1"/>
    <w:basedOn w:val="4"/>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3">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4">
    <w:name w:val="Texto de nota de fim Char"/>
    <w:basedOn w:val="3"/>
    <w:link w:val="20"/>
    <w:autoRedefine/>
    <w:semiHidden/>
    <w:qFormat/>
    <w:uiPriority w:val="99"/>
    <w:rPr>
      <w:rFonts w:ascii="Times New Roman" w:hAnsi="Times New Roman" w:eastAsia="Times New Roman" w:cs="Times New Roman"/>
      <w:sz w:val="20"/>
      <w:szCs w:val="20"/>
      <w:lang w:eastAsia="pt-BR"/>
    </w:rPr>
  </w:style>
  <w:style w:type="paragraph" w:customStyle="1" w:styleId="225">
    <w:name w:val="ec_msonormal"/>
    <w:basedOn w:val="1"/>
    <w:autoRedefine/>
    <w:qFormat/>
    <w:uiPriority w:val="0"/>
    <w:pPr>
      <w:spacing w:after="324"/>
    </w:pPr>
  </w:style>
  <w:style w:type="paragraph" w:customStyle="1" w:styleId="226">
    <w:name w:val="WW-Corpo de texto 3"/>
    <w:basedOn w:val="1"/>
    <w:autoRedefine/>
    <w:qFormat/>
    <w:uiPriority w:val="0"/>
    <w:pPr>
      <w:widowControl w:val="0"/>
      <w:jc w:val="both"/>
    </w:pPr>
    <w:rPr>
      <w:rFonts w:ascii="Arial" w:hAnsi="Arial" w:eastAsia="Tahoma" w:cs="Arial"/>
      <w:b/>
      <w:sz w:val="20"/>
      <w:szCs w:val="20"/>
    </w:rPr>
  </w:style>
  <w:style w:type="paragraph" w:customStyle="1" w:styleId="227">
    <w:name w:val="Sem Espaçamento1"/>
    <w:autoRedefine/>
    <w:qFormat/>
    <w:uiPriority w:val="0"/>
    <w:rPr>
      <w:rFonts w:ascii="Calibri" w:hAnsi="Calibri" w:eastAsia="Times New Roman" w:cs="Times New Roman"/>
      <w:sz w:val="22"/>
      <w:szCs w:val="22"/>
      <w:lang w:val="pt-BR" w:eastAsia="en-US" w:bidi="ar-SA"/>
    </w:rPr>
  </w:style>
  <w:style w:type="paragraph" w:customStyle="1" w:styleId="228">
    <w:name w:val="Sem Espaçamento2"/>
    <w:autoRedefine/>
    <w:qFormat/>
    <w:uiPriority w:val="0"/>
    <w:rPr>
      <w:rFonts w:ascii="Calibri" w:hAnsi="Calibri" w:eastAsia="Times New Roman" w:cs="Times New Roman"/>
      <w:sz w:val="22"/>
      <w:szCs w:val="22"/>
      <w:lang w:val="pt-BR" w:eastAsia="en-US" w:bidi="ar-SA"/>
    </w:rPr>
  </w:style>
  <w:style w:type="character" w:customStyle="1" w:styleId="229">
    <w:name w:val="Referência Sutil1"/>
    <w:basedOn w:val="3"/>
    <w:autoRedefine/>
    <w:qFormat/>
    <w:uiPriority w:val="31"/>
    <w:rPr>
      <w:smallCaps/>
      <w:color w:val="C0504D" w:themeColor="accent2"/>
      <w:u w:val="single"/>
      <w14:textFill>
        <w14:solidFill>
          <w14:schemeClr w14:val="accent2"/>
        </w14:solidFill>
      </w14:textFill>
    </w:rPr>
  </w:style>
  <w:style w:type="paragraph" w:customStyle="1" w:styleId="230">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1">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2">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3">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4">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5">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36">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37">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38">
    <w:name w:val="xl71"/>
    <w:basedOn w:val="1"/>
    <w:autoRedefine/>
    <w:qFormat/>
    <w:uiPriority w:val="0"/>
    <w:pPr>
      <w:spacing w:before="100" w:beforeAutospacing="1" w:after="100" w:afterAutospacing="1"/>
    </w:pPr>
    <w:rPr>
      <w:rFonts w:ascii="Arial" w:hAnsi="Arial" w:cs="Arial"/>
      <w:sz w:val="16"/>
      <w:szCs w:val="16"/>
    </w:rPr>
  </w:style>
  <w:style w:type="paragraph" w:customStyle="1" w:styleId="239">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0">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1">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2">
    <w:name w:val="xl75"/>
    <w:basedOn w:val="1"/>
    <w:autoRedefine/>
    <w:qFormat/>
    <w:uiPriority w:val="0"/>
    <w:pPr>
      <w:spacing w:before="100" w:beforeAutospacing="1" w:after="100" w:afterAutospacing="1"/>
    </w:pPr>
    <w:rPr>
      <w:rFonts w:ascii="Arial" w:hAnsi="Arial" w:cs="Arial"/>
      <w:sz w:val="16"/>
      <w:szCs w:val="16"/>
    </w:rPr>
  </w:style>
  <w:style w:type="paragraph" w:customStyle="1" w:styleId="243">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4">
    <w:name w:val="xl77"/>
    <w:basedOn w:val="1"/>
    <w:autoRedefine/>
    <w:qFormat/>
    <w:uiPriority w:val="0"/>
    <w:pPr>
      <w:spacing w:before="100" w:beforeAutospacing="1" w:after="100" w:afterAutospacing="1"/>
    </w:pPr>
    <w:rPr>
      <w:rFonts w:ascii="Arial" w:hAnsi="Arial" w:cs="Arial"/>
      <w:sz w:val="16"/>
      <w:szCs w:val="16"/>
    </w:rPr>
  </w:style>
  <w:style w:type="paragraph" w:customStyle="1" w:styleId="245">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46">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7">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48">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49">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0">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1">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2">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3">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4">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5">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6">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7">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8">
    <w:name w:val="xl91"/>
    <w:basedOn w:val="1"/>
    <w:autoRedefine/>
    <w:qFormat/>
    <w:uiPriority w:val="0"/>
    <w:pPr>
      <w:spacing w:before="100" w:beforeAutospacing="1" w:after="100" w:afterAutospacing="1"/>
    </w:pPr>
    <w:rPr>
      <w:rFonts w:ascii="Arial" w:hAnsi="Arial" w:cs="Arial"/>
      <w:sz w:val="16"/>
      <w:szCs w:val="16"/>
    </w:rPr>
  </w:style>
  <w:style w:type="paragraph" w:customStyle="1" w:styleId="259">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0">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1">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2">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3">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4">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5">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66">
    <w:name w:val="description__descriptionui-xdq6yf-0"/>
    <w:basedOn w:val="3"/>
    <w:autoRedefine/>
    <w:qFormat/>
    <w:uiPriority w:val="0"/>
  </w:style>
  <w:style w:type="character" w:customStyle="1" w:styleId="267">
    <w:name w:val="Link da Internet"/>
    <w:autoRedefine/>
    <w:qFormat/>
    <w:uiPriority w:val="0"/>
    <w:rPr>
      <w:color w:val="000080"/>
      <w:u w:val="single"/>
    </w:rPr>
  </w:style>
  <w:style w:type="paragraph" w:customStyle="1" w:styleId="268">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69">
    <w:name w:val="11"/>
    <w:basedOn w:val="1"/>
    <w:autoRedefine/>
    <w:qFormat/>
    <w:uiPriority w:val="0"/>
    <w:pPr>
      <w:widowControl w:val="0"/>
      <w:ind w:left="1701" w:hanging="850"/>
      <w:jc w:val="both"/>
    </w:pPr>
    <w:rPr>
      <w:sz w:val="20"/>
      <w:szCs w:val="20"/>
    </w:rPr>
  </w:style>
  <w:style w:type="paragraph" w:customStyle="1" w:styleId="270">
    <w:name w:val="Body Text 21"/>
    <w:basedOn w:val="1"/>
    <w:autoRedefine/>
    <w:qFormat/>
    <w:uiPriority w:val="0"/>
    <w:pPr>
      <w:widowControl w:val="0"/>
      <w:jc w:val="both"/>
    </w:pPr>
    <w:rPr>
      <w:sz w:val="20"/>
      <w:szCs w:val="20"/>
    </w:rPr>
  </w:style>
  <w:style w:type="paragraph" w:customStyle="1" w:styleId="271">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2">
    <w:name w:val="Recuo de corpo de texto 21"/>
    <w:basedOn w:val="1"/>
    <w:autoRedefine/>
    <w:qFormat/>
    <w:uiPriority w:val="0"/>
    <w:pPr>
      <w:widowControl w:val="0"/>
      <w:tabs>
        <w:tab w:val="left" w:pos="29778"/>
      </w:tabs>
      <w:spacing w:before="120"/>
      <w:ind w:left="709" w:hanging="709"/>
      <w:jc w:val="both"/>
    </w:pPr>
  </w:style>
  <w:style w:type="paragraph" w:customStyle="1" w:styleId="273">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4">
    <w:name w:val="Cabeçalho11"/>
    <w:basedOn w:val="1"/>
    <w:autoRedefine/>
    <w:qFormat/>
    <w:uiPriority w:val="99"/>
    <w:pPr>
      <w:widowControl w:val="0"/>
      <w:suppressLineNumbers/>
      <w:tabs>
        <w:tab w:val="center" w:pos="4818"/>
        <w:tab w:val="right" w:pos="9637"/>
      </w:tabs>
    </w:pPr>
  </w:style>
  <w:style w:type="paragraph" w:customStyle="1" w:styleId="275">
    <w:name w:val="WW-Texto simples"/>
    <w:basedOn w:val="1"/>
    <w:autoRedefine/>
    <w:qFormat/>
    <w:uiPriority w:val="0"/>
    <w:rPr>
      <w:rFonts w:ascii="Courier New" w:hAnsi="Courier New"/>
      <w:sz w:val="20"/>
      <w:szCs w:val="20"/>
    </w:rPr>
  </w:style>
  <w:style w:type="paragraph" w:styleId="276">
    <w:name w:val="Quote"/>
    <w:basedOn w:val="1"/>
    <w:next w:val="1"/>
    <w:link w:val="277"/>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77">
    <w:name w:val="Citação Char"/>
    <w:basedOn w:val="3"/>
    <w:link w:val="276"/>
    <w:autoRedefine/>
    <w:qFormat/>
    <w:uiPriority w:val="0"/>
    <w:rPr>
      <w:rFonts w:ascii="Arial" w:hAnsi="Arial" w:eastAsia="Calibri" w:cs="Tahoma"/>
      <w:i/>
      <w:iCs/>
      <w:color w:val="000000"/>
      <w:sz w:val="20"/>
      <w:szCs w:val="24"/>
      <w:shd w:val="clear" w:color="auto" w:fill="FFFFCC"/>
    </w:rPr>
  </w:style>
  <w:style w:type="paragraph" w:customStyle="1" w:styleId="278">
    <w:name w:val="Nivel 01"/>
    <w:basedOn w:val="187"/>
    <w:next w:val="1"/>
    <w:link w:val="280"/>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character" w:customStyle="1" w:styleId="279">
    <w:name w:val="Pré-formatação HTML Char"/>
    <w:basedOn w:val="3"/>
    <w:link w:val="25"/>
    <w:autoRedefine/>
    <w:qFormat/>
    <w:uiPriority w:val="0"/>
    <w:rPr>
      <w:rFonts w:ascii="Arial Unicode MS" w:hAnsi="Arial Unicode MS" w:eastAsia="Arial Unicode MS" w:cs="Arial Unicode MS"/>
      <w:sz w:val="24"/>
      <w:szCs w:val="24"/>
      <w:lang w:eastAsia="pt-BR"/>
    </w:rPr>
  </w:style>
  <w:style w:type="character" w:customStyle="1" w:styleId="280">
    <w:name w:val="Nivel 01 Char"/>
    <w:basedOn w:val="205"/>
    <w:link w:val="278"/>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1">
    <w:name w:val="Fonte parág. padrão5"/>
    <w:autoRedefine/>
    <w:qFormat/>
    <w:uiPriority w:val="0"/>
  </w:style>
  <w:style w:type="paragraph" w:customStyle="1" w:styleId="282">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3">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4">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85">
    <w:name w:val="Placeholder Text"/>
    <w:basedOn w:val="3"/>
    <w:autoRedefine/>
    <w:semiHidden/>
    <w:qFormat/>
    <w:uiPriority w:val="99"/>
    <w:rPr>
      <w:color w:val="808080"/>
    </w:rPr>
  </w:style>
  <w:style w:type="paragraph" w:customStyle="1" w:styleId="286">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87">
    <w:name w:val="item"/>
    <w:basedOn w:val="1"/>
    <w:autoRedefine/>
    <w:qFormat/>
    <w:uiPriority w:val="0"/>
    <w:pPr>
      <w:spacing w:before="100" w:beforeAutospacing="1" w:after="100" w:afterAutospacing="1"/>
    </w:pPr>
  </w:style>
  <w:style w:type="paragraph" w:customStyle="1" w:styleId="288">
    <w:name w:val="dou-paragraph"/>
    <w:basedOn w:val="1"/>
    <w:autoRedefine/>
    <w:qFormat/>
    <w:uiPriority w:val="0"/>
    <w:pPr>
      <w:spacing w:before="100" w:beforeAutospacing="1" w:after="100" w:afterAutospacing="1"/>
    </w:pPr>
  </w:style>
  <w:style w:type="character" w:customStyle="1" w:styleId="289">
    <w:name w:val="Título 4 Char"/>
    <w:basedOn w:val="3"/>
    <w:link w:val="190"/>
    <w:autoRedefine/>
    <w:semiHidden/>
    <w:qFormat/>
    <w:uiPriority w:val="0"/>
    <w:rPr>
      <w:rFonts w:ascii="SimSun" w:hAnsi="SimSun" w:eastAsia="SimSun" w:cs="Times New Roman"/>
      <w:b/>
      <w:bCs/>
      <w:sz w:val="24"/>
      <w:szCs w:val="24"/>
      <w:lang w:val="en-US" w:eastAsia="zh-CN"/>
    </w:rPr>
  </w:style>
  <w:style w:type="character" w:customStyle="1" w:styleId="290">
    <w:name w:val="Título 5 Char"/>
    <w:basedOn w:val="3"/>
    <w:link w:val="191"/>
    <w:autoRedefine/>
    <w:qFormat/>
    <w:uiPriority w:val="0"/>
    <w:rPr>
      <w:rFonts w:ascii="Times New Roman" w:hAnsi="Times New Roman" w:eastAsia="Times New Roman" w:cs="Times New Roman"/>
      <w:b/>
      <w:bCs/>
      <w:i/>
      <w:iCs/>
      <w:sz w:val="26"/>
      <w:szCs w:val="26"/>
      <w:lang w:eastAsia="pt-BR"/>
    </w:rPr>
  </w:style>
  <w:style w:type="character" w:customStyle="1" w:styleId="291">
    <w:name w:val="Título 6 Char"/>
    <w:basedOn w:val="3"/>
    <w:link w:val="192"/>
    <w:autoRedefine/>
    <w:qFormat/>
    <w:uiPriority w:val="0"/>
    <w:rPr>
      <w:rFonts w:ascii="Times New Roman" w:hAnsi="Times New Roman" w:eastAsia="Times New Roman" w:cs="Times New Roman"/>
      <w:b/>
      <w:bCs/>
      <w:lang w:eastAsia="pt-BR"/>
    </w:rPr>
  </w:style>
  <w:style w:type="character" w:customStyle="1" w:styleId="292">
    <w:name w:val="Título 7 Char"/>
    <w:basedOn w:val="3"/>
    <w:link w:val="193"/>
    <w:autoRedefine/>
    <w:qFormat/>
    <w:uiPriority w:val="0"/>
    <w:rPr>
      <w:rFonts w:ascii="Times New Roman" w:hAnsi="Times New Roman" w:eastAsia="Times New Roman" w:cs="Times New Roman"/>
      <w:sz w:val="24"/>
      <w:szCs w:val="24"/>
      <w:lang w:eastAsia="pt-BR"/>
    </w:rPr>
  </w:style>
  <w:style w:type="character" w:customStyle="1" w:styleId="293">
    <w:name w:val="Recuo de corpo de texto Char"/>
    <w:basedOn w:val="3"/>
    <w:link w:val="37"/>
    <w:autoRedefine/>
    <w:qFormat/>
    <w:uiPriority w:val="0"/>
    <w:rPr>
      <w:rFonts w:ascii="Times New Roman" w:hAnsi="Times New Roman" w:eastAsia="Times New Roman" w:cs="Times New Roman"/>
      <w:color w:val="000000"/>
      <w:sz w:val="28"/>
      <w:szCs w:val="24"/>
      <w:lang w:eastAsia="pt-BR"/>
    </w:rPr>
  </w:style>
  <w:style w:type="character" w:customStyle="1" w:styleId="294">
    <w:name w:val="Recuo de corpo de texto 3 Char"/>
    <w:basedOn w:val="3"/>
    <w:link w:val="31"/>
    <w:autoRedefine/>
    <w:qFormat/>
    <w:uiPriority w:val="0"/>
    <w:rPr>
      <w:rFonts w:ascii="Times New Roman" w:hAnsi="Times New Roman" w:eastAsia="Times New Roman" w:cs="Times New Roman"/>
      <w:sz w:val="16"/>
      <w:szCs w:val="16"/>
      <w:lang w:eastAsia="pt-BR"/>
    </w:rPr>
  </w:style>
  <w:style w:type="paragraph" w:customStyle="1" w:styleId="295">
    <w:name w:val="yiv2657303166msonormal"/>
    <w:basedOn w:val="1"/>
    <w:qFormat/>
    <w:uiPriority w:val="0"/>
    <w:pPr>
      <w:spacing w:before="100" w:beforeAutospacing="1" w:after="100" w:afterAutospacing="1"/>
    </w:pPr>
  </w:style>
  <w:style w:type="character" w:customStyle="1" w:styleId="296">
    <w:name w:val="Cabeçalho Char1"/>
    <w:basedOn w:val="3"/>
    <w:link w:val="27"/>
    <w:autoRedefine/>
    <w:qFormat/>
    <w:uiPriority w:val="99"/>
    <w:rPr>
      <w:rFonts w:ascii="Times New Roman" w:hAnsi="Times New Roman" w:eastAsia="Times New Roman" w:cs="Times New Roman"/>
      <w:sz w:val="24"/>
      <w:szCs w:val="24"/>
      <w:lang w:eastAsia="pt-BR"/>
    </w:rPr>
  </w:style>
  <w:style w:type="character" w:customStyle="1" w:styleId="297">
    <w:name w:val="Rodapé Char1"/>
    <w:basedOn w:val="3"/>
    <w:link w:val="29"/>
    <w:autoRedefine/>
    <w:qFormat/>
    <w:uiPriority w:val="99"/>
    <w:rPr>
      <w:rFonts w:ascii="Times New Roman" w:hAnsi="Times New Roman" w:eastAsia="Times New Roman" w:cs="Times New Roman"/>
      <w:sz w:val="24"/>
      <w:szCs w:val="24"/>
      <w:lang w:eastAsia="pt-BR"/>
    </w:rPr>
  </w:style>
  <w:style w:type="paragraph" w:customStyle="1" w:styleId="298">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299">
    <w:name w:val="font01"/>
    <w:autoRedefine/>
    <w:qFormat/>
    <w:uiPriority w:val="0"/>
    <w:rPr>
      <w:rFonts w:hint="default" w:ascii="Arial" w:hAnsi="Arial" w:cs="Arial"/>
      <w:color w:val="000000"/>
      <w:u w:val="none"/>
    </w:rPr>
  </w:style>
  <w:style w:type="character" w:customStyle="1" w:styleId="300">
    <w:name w:val="font11"/>
    <w:autoRedefine/>
    <w:qFormat/>
    <w:uiPriority w:val="0"/>
    <w:rPr>
      <w:rFonts w:hint="default" w:ascii="Arial" w:hAnsi="Arial" w:cs="Arial"/>
      <w:color w:val="000000"/>
      <w:u w:val="none"/>
    </w:rPr>
  </w:style>
  <w:style w:type="paragraph" w:customStyle="1" w:styleId="301">
    <w:name w:val="Rodapé2"/>
    <w:basedOn w:val="1"/>
    <w:qFormat/>
    <w:uiPriority w:val="99"/>
    <w:pPr>
      <w:tabs>
        <w:tab w:val="center" w:pos="4252"/>
        <w:tab w:val="right" w:pos="8504"/>
      </w:tabs>
    </w:pPr>
  </w:style>
  <w:style w:type="character" w:customStyle="1" w:styleId="302">
    <w:name w:val="Nivel 2 Char"/>
    <w:basedOn w:val="3"/>
    <w:link w:val="303"/>
    <w:autoRedefine/>
    <w:qFormat/>
    <w:locked/>
    <w:uiPriority w:val="0"/>
    <w:rPr>
      <w:rFonts w:ascii="Arial" w:hAnsi="Arial" w:cs="Arial"/>
      <w:color w:val="000000"/>
      <w:lang w:eastAsia="pt-BR"/>
    </w:rPr>
  </w:style>
  <w:style w:type="paragraph" w:customStyle="1" w:styleId="303">
    <w:name w:val="Nivel 2"/>
    <w:basedOn w:val="1"/>
    <w:link w:val="302"/>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4">
    <w:name w:val="Nivel 3"/>
    <w:basedOn w:val="1"/>
    <w:link w:val="307"/>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05">
    <w:name w:val="Nivel 4"/>
    <w:basedOn w:val="304"/>
    <w:link w:val="311"/>
    <w:autoRedefine/>
    <w:qFormat/>
    <w:uiPriority w:val="0"/>
    <w:pPr>
      <w:ind w:left="567"/>
    </w:pPr>
    <w:rPr>
      <w:color w:val="auto"/>
    </w:rPr>
  </w:style>
  <w:style w:type="paragraph" w:customStyle="1" w:styleId="306">
    <w:name w:val="Nivel 5"/>
    <w:basedOn w:val="305"/>
    <w:autoRedefine/>
    <w:qFormat/>
    <w:uiPriority w:val="0"/>
    <w:pPr>
      <w:ind w:left="851"/>
    </w:pPr>
  </w:style>
  <w:style w:type="character" w:customStyle="1" w:styleId="307">
    <w:name w:val="Nivel 3 Char"/>
    <w:basedOn w:val="3"/>
    <w:link w:val="304"/>
    <w:autoRedefine/>
    <w:qFormat/>
    <w:locked/>
    <w:uiPriority w:val="0"/>
    <w:rPr>
      <w:rFonts w:ascii="Arial" w:hAnsi="Arial" w:cs="Arial" w:eastAsiaTheme="minorEastAsia"/>
      <w:color w:val="000000"/>
      <w:sz w:val="20"/>
      <w:szCs w:val="20"/>
      <w:lang w:eastAsia="pt-BR"/>
    </w:rPr>
  </w:style>
  <w:style w:type="character" w:customStyle="1" w:styleId="308">
    <w:name w:val="Texto de comentário Char"/>
    <w:basedOn w:val="3"/>
    <w:link w:val="16"/>
    <w:autoRedefine/>
    <w:semiHidden/>
    <w:qFormat/>
    <w:uiPriority w:val="0"/>
    <w:rPr>
      <w:rFonts w:ascii="ecofont_spranq_eco_sans" w:hAnsi="ecofont_spranq_eco_sans" w:cs="Tahoma" w:eastAsiaTheme="minorEastAsia"/>
      <w:sz w:val="20"/>
      <w:szCs w:val="20"/>
      <w:lang w:eastAsia="pt-BR"/>
    </w:rPr>
  </w:style>
  <w:style w:type="character" w:customStyle="1" w:styleId="309">
    <w:name w:val="Nível 3-R Char"/>
    <w:basedOn w:val="307"/>
    <w:link w:val="310"/>
    <w:autoRedefine/>
    <w:qFormat/>
    <w:locked/>
    <w:uiPriority w:val="0"/>
    <w:rPr>
      <w:rFonts w:ascii="Arial" w:hAnsi="Arial" w:cs="Arial" w:eastAsiaTheme="minorEastAsia"/>
      <w:i/>
      <w:iCs/>
      <w:color w:val="FF0000"/>
      <w:sz w:val="22"/>
      <w:szCs w:val="22"/>
      <w:lang w:eastAsia="pt-BR"/>
    </w:rPr>
  </w:style>
  <w:style w:type="paragraph" w:customStyle="1" w:styleId="310">
    <w:name w:val="Nível 3-R"/>
    <w:basedOn w:val="304"/>
    <w:link w:val="309"/>
    <w:autoRedefine/>
    <w:qFormat/>
    <w:uiPriority w:val="0"/>
    <w:pPr>
      <w:numPr>
        <w:ilvl w:val="2"/>
        <w:numId w:val="1"/>
      </w:numPr>
      <w:ind w:left="284" w:firstLine="0"/>
    </w:pPr>
    <w:rPr>
      <w:rFonts w:eastAsiaTheme="minorHAnsi"/>
      <w:i/>
      <w:iCs/>
      <w:color w:val="FF0000"/>
      <w:sz w:val="22"/>
      <w:szCs w:val="22"/>
    </w:rPr>
  </w:style>
  <w:style w:type="character" w:customStyle="1" w:styleId="311">
    <w:name w:val="Nivel 4 Char"/>
    <w:basedOn w:val="3"/>
    <w:link w:val="305"/>
    <w:autoRedefine/>
    <w:qFormat/>
    <w:locked/>
    <w:uiPriority w:val="0"/>
    <w:rPr>
      <w:rFonts w:ascii="Arial" w:hAnsi="Arial" w:cs="Arial" w:eastAsiaTheme="minorEastAsia"/>
      <w:sz w:val="20"/>
      <w:szCs w:val="20"/>
      <w:lang w:eastAsia="pt-BR"/>
    </w:rPr>
  </w:style>
  <w:style w:type="character" w:customStyle="1" w:styleId="312">
    <w:name w:val="Menção Pendente1"/>
    <w:basedOn w:val="3"/>
    <w:autoRedefine/>
    <w:semiHidden/>
    <w:unhideWhenUsed/>
    <w:qFormat/>
    <w:uiPriority w:val="99"/>
    <w:rPr>
      <w:color w:val="605E5C"/>
      <w:shd w:val="clear" w:color="auto" w:fill="E1DFDD"/>
    </w:rPr>
  </w:style>
  <w:style w:type="paragraph" w:customStyle="1" w:styleId="313">
    <w:name w:val="Conteúdo do quadro"/>
    <w:basedOn w:val="1"/>
    <w:autoRedefine/>
    <w:qFormat/>
    <w:uiPriority w:val="0"/>
    <w:pPr>
      <w:widowControl w:val="0"/>
    </w:pPr>
    <w:rPr>
      <w:sz w:val="22"/>
      <w:szCs w:val="22"/>
      <w:lang w:val="pt-PT" w:eastAsia="en-US"/>
    </w:rPr>
  </w:style>
  <w:style w:type="character" w:customStyle="1" w:styleId="314">
    <w:name w:val="Assunto do comentário Char"/>
    <w:basedOn w:val="308"/>
    <w:link w:val="28"/>
    <w:autoRedefine/>
    <w:semiHidden/>
    <w:qFormat/>
    <w:uiPriority w:val="99"/>
    <w:rPr>
      <w:rFonts w:ascii="Times New Roman" w:hAnsi="Times New Roman" w:eastAsia="Times New Roman" w:cs="Times New Roman"/>
      <w:b/>
      <w:bCs/>
      <w:sz w:val="20"/>
      <w:szCs w:val="20"/>
      <w:lang w:eastAsia="pt-BR"/>
    </w:rPr>
  </w:style>
  <w:style w:type="character" w:customStyle="1" w:styleId="315">
    <w:name w:val="Nível 3 Char"/>
    <w:basedOn w:val="3"/>
    <w:link w:val="316"/>
    <w:autoRedefine/>
    <w:qFormat/>
    <w:locked/>
    <w:uiPriority w:val="0"/>
    <w:rPr>
      <w:rFonts w:ascii="Arial" w:hAnsi="Arial" w:cs="Arial"/>
      <w:sz w:val="22"/>
      <w:szCs w:val="22"/>
      <w:lang w:eastAsia="en-US"/>
    </w:rPr>
  </w:style>
  <w:style w:type="paragraph" w:customStyle="1" w:styleId="316">
    <w:name w:val="Nível 3"/>
    <w:basedOn w:val="310"/>
    <w:link w:val="315"/>
    <w:autoRedefine/>
    <w:qFormat/>
    <w:uiPriority w:val="0"/>
    <w:rPr>
      <w:i w:val="0"/>
      <w:iCs w:val="0"/>
      <w:color w:val="auto"/>
      <w:lang w:eastAsia="en-US"/>
    </w:rPr>
  </w:style>
  <w:style w:type="character" w:customStyle="1" w:styleId="317">
    <w:name w:val="Nível 4 Char"/>
    <w:basedOn w:val="315"/>
    <w:link w:val="318"/>
    <w:autoRedefine/>
    <w:qFormat/>
    <w:locked/>
    <w:uiPriority w:val="0"/>
    <w:rPr>
      <w:rFonts w:ascii="Arial" w:hAnsi="Arial" w:cs="Arial"/>
      <w:sz w:val="22"/>
      <w:szCs w:val="22"/>
      <w:lang w:eastAsia="en-US"/>
    </w:rPr>
  </w:style>
  <w:style w:type="paragraph" w:customStyle="1" w:styleId="318">
    <w:name w:val="Nível 4"/>
    <w:basedOn w:val="316"/>
    <w:link w:val="317"/>
    <w:autoRedefine/>
    <w:qFormat/>
    <w:uiPriority w:val="0"/>
    <w:pPr>
      <w:numPr>
        <w:ilvl w:val="0"/>
        <w:numId w:val="0"/>
      </w:numPr>
      <w:ind w:left="567"/>
    </w:pPr>
  </w:style>
  <w:style w:type="character" w:customStyle="1" w:styleId="319">
    <w:name w:val="Nível 2 -Red Char"/>
    <w:basedOn w:val="302"/>
    <w:link w:val="320"/>
    <w:autoRedefine/>
    <w:qFormat/>
    <w:locked/>
    <w:uiPriority w:val="0"/>
    <w:rPr>
      <w:rFonts w:ascii="Arial" w:hAnsi="Arial" w:cs="Arial"/>
      <w:i/>
      <w:iCs/>
      <w:color w:val="FF0000"/>
      <w:sz w:val="22"/>
      <w:szCs w:val="22"/>
      <w:lang w:eastAsia="en-US"/>
    </w:rPr>
  </w:style>
  <w:style w:type="paragraph" w:customStyle="1" w:styleId="320">
    <w:name w:val="Nível 2 -Red"/>
    <w:basedOn w:val="303"/>
    <w:link w:val="319"/>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1">
    <w:name w:val="SubTitNN Char"/>
    <w:basedOn w:val="3"/>
    <w:link w:val="322"/>
    <w:autoRedefine/>
    <w:qFormat/>
    <w:locked/>
    <w:uiPriority w:val="0"/>
    <w:rPr>
      <w:rFonts w:ascii="Arial" w:hAnsi="Arial" w:cs="Arial"/>
      <w:b/>
      <w:bCs/>
      <w:iCs/>
    </w:rPr>
  </w:style>
  <w:style w:type="paragraph" w:customStyle="1" w:styleId="322">
    <w:name w:val="SubTitNN"/>
    <w:basedOn w:val="1"/>
    <w:link w:val="321"/>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3">
    <w:name w:val="Título 1 Char1"/>
    <w:basedOn w:val="3"/>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4">
    <w:name w:val="15"/>
    <w:basedOn w:val="3"/>
    <w:autoRedefine/>
    <w:qFormat/>
    <w:uiPriority w:val="0"/>
    <w:rPr>
      <w:rFonts w:hint="default" w:ascii="Times New Roman" w:hAnsi="Times New Roman" w:cs="Times New Roman"/>
      <w:color w:val="000080"/>
      <w:u w:val="single"/>
    </w:rPr>
  </w:style>
  <w:style w:type="character" w:customStyle="1" w:styleId="325">
    <w:name w:val="16"/>
    <w:basedOn w:val="3"/>
    <w:autoRedefine/>
    <w:qFormat/>
    <w:uiPriority w:val="0"/>
    <w:rPr>
      <w:rFonts w:hint="default" w:ascii="Times New Roman" w:hAnsi="Times New Roman" w:cs="Times New Roman"/>
      <w:color w:val="000080"/>
      <w:u w:val="single"/>
    </w:rPr>
  </w:style>
  <w:style w:type="paragraph" w:customStyle="1" w:styleId="326">
    <w:name w:val="No Spacing1"/>
    <w:basedOn w:val="1"/>
    <w:autoRedefine/>
    <w:qFormat/>
    <w:uiPriority w:val="0"/>
    <w:pPr>
      <w:widowControl w:val="0"/>
      <w:suppressAutoHyphens w:val="0"/>
    </w:pPr>
    <w:rPr>
      <w:rFonts w:eastAsia="Tahoma"/>
    </w:rPr>
  </w:style>
  <w:style w:type="paragraph" w:customStyle="1" w:styleId="327">
    <w:name w:val="List Paragraph2"/>
    <w:basedOn w:val="1"/>
    <w:autoRedefine/>
    <w:qFormat/>
    <w:uiPriority w:val="0"/>
    <w:pPr>
      <w:suppressAutoHyphens w:val="0"/>
      <w:spacing w:before="100" w:beforeAutospacing="1" w:after="100" w:afterAutospacing="1"/>
      <w:contextualSpacing/>
    </w:pPr>
  </w:style>
  <w:style w:type="paragraph" w:customStyle="1" w:styleId="328">
    <w:name w:val="WW-Normal (Web)"/>
    <w:basedOn w:val="1"/>
    <w:autoRedefine/>
    <w:qFormat/>
    <w:uiPriority w:val="0"/>
    <w:pPr>
      <w:spacing w:before="280" w:after="280"/>
    </w:pPr>
    <w:rPr>
      <w:lang w:eastAsia="ar-SA"/>
    </w:rPr>
  </w:style>
  <w:style w:type="table" w:customStyle="1" w:styleId="329">
    <w:name w:val="Table Normal"/>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0">
    <w:name w:val="tx2"/>
    <w:basedOn w:val="3"/>
    <w:autoRedefine/>
    <w:qFormat/>
    <w:uiPriority w:val="0"/>
  </w:style>
  <w:style w:type="paragraph" w:customStyle="1" w:styleId="331">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2">
    <w:name w:val="Conteúdo da tabela"/>
    <w:basedOn w:val="298"/>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3">
    <w:name w:val="Text body"/>
    <w:basedOn w:val="298"/>
    <w:autoRedefine/>
    <w:qFormat/>
    <w:uiPriority w:val="0"/>
    <w:pPr>
      <w:widowControl/>
      <w:spacing w:after="140" w:line="276" w:lineRule="auto"/>
    </w:pPr>
    <w:rPr>
      <w:rFonts w:eastAsia="Noto Serif CJK SC" w:cs="Lohit Devanagari"/>
    </w:rPr>
  </w:style>
  <w:style w:type="paragraph" w:customStyle="1" w:styleId="334">
    <w:name w:val="Table Contents"/>
    <w:basedOn w:val="298"/>
    <w:qFormat/>
    <w:uiPriority w:val="0"/>
    <w:pPr>
      <w:suppressLineNumbers/>
    </w:pPr>
    <w:rPr>
      <w:rFonts w:eastAsia="Noto Serif CJK SC" w:cs="Lohit Devanagari"/>
    </w:rPr>
  </w:style>
  <w:style w:type="character" w:customStyle="1" w:styleId="335">
    <w:name w:val="Internet link"/>
    <w:qFormat/>
    <w:uiPriority w:val="0"/>
    <w:rPr>
      <w:color w:val="0000FF"/>
      <w:u w:val="single"/>
    </w:rPr>
  </w:style>
  <w:style w:type="character" w:customStyle="1" w:styleId="336">
    <w:name w:val="markedcontent"/>
    <w:basedOn w:val="3"/>
    <w:qFormat/>
    <w:uiPriority w:val="0"/>
  </w:style>
  <w:style w:type="character" w:customStyle="1" w:styleId="337">
    <w:name w:val="Forte1"/>
    <w:basedOn w:val="338"/>
    <w:link w:val="1"/>
    <w:qFormat/>
    <w:uiPriority w:val="0"/>
    <w:rPr>
      <w:rFonts w:ascii="Times New Roman" w:hAnsi="Times New Roman" w:eastAsia="Times New Roman" w:cs="Times New Roman"/>
      <w:sz w:val="24"/>
      <w:szCs w:val="24"/>
      <w:lang w:val="pt-BR" w:eastAsia="pt-BR" w:bidi="ar-SA"/>
    </w:rPr>
  </w:style>
  <w:style w:type="character" w:customStyle="1" w:styleId="338">
    <w:name w:val="Fonte parág. padrão11"/>
    <w:link w:val="1"/>
    <w:qFormat/>
    <w:uiPriority w:val="0"/>
  </w:style>
  <w:style w:type="table" w:customStyle="1" w:styleId="339">
    <w:name w:val="Tabela com grade1"/>
    <w:basedOn w:val="34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0">
    <w:name w:val="Tabela normal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1">
    <w:name w:val="2"/>
    <w:basedOn w:val="342"/>
    <w:autoRedefine/>
    <w:qFormat/>
    <w:uiPriority w:val="0"/>
    <w:tblPr>
      <w:tblCellMar>
        <w:top w:w="0" w:type="dxa"/>
        <w:left w:w="108" w:type="dxa"/>
        <w:bottom w:w="0" w:type="dxa"/>
        <w:right w:w="108" w:type="dxa"/>
      </w:tblCellMar>
    </w:tblPr>
  </w:style>
  <w:style w:type="table" w:customStyle="1" w:styleId="342">
    <w:name w:val="Table Normal1"/>
    <w:autoRedefine/>
    <w:qFormat/>
    <w:uiPriority w:val="0"/>
    <w:tblPr>
      <w:tblCellMar>
        <w:top w:w="0" w:type="dxa"/>
        <w:left w:w="0" w:type="dxa"/>
        <w:bottom w:w="0" w:type="dxa"/>
        <w:right w:w="0" w:type="dxa"/>
      </w:tblCellMar>
    </w:tblPr>
  </w:style>
  <w:style w:type="table" w:customStyle="1" w:styleId="343">
    <w:name w:val="1"/>
    <w:basedOn w:val="342"/>
    <w:qFormat/>
    <w:uiPriority w:val="0"/>
    <w:tblPr>
      <w:tblCellMar>
        <w:top w:w="100" w:type="dxa"/>
        <w:left w:w="100" w:type="dxa"/>
        <w:bottom w:w="100" w:type="dxa"/>
        <w:right w:w="100" w:type="dxa"/>
      </w:tblCellMar>
    </w:tblPr>
  </w:style>
  <w:style w:type="table" w:customStyle="1" w:styleId="344">
    <w:name w:val="5"/>
    <w:basedOn w:val="342"/>
    <w:autoRedefine/>
    <w:qFormat/>
    <w:uiPriority w:val="0"/>
    <w:tblPr>
      <w:tblCellMar>
        <w:top w:w="100" w:type="dxa"/>
        <w:left w:w="100" w:type="dxa"/>
        <w:bottom w:w="100" w:type="dxa"/>
        <w:right w:w="100" w:type="dxa"/>
      </w:tblCellMar>
    </w:tblPr>
  </w:style>
  <w:style w:type="table" w:customStyle="1" w:styleId="345">
    <w:name w:val="4"/>
    <w:basedOn w:val="342"/>
    <w:qFormat/>
    <w:uiPriority w:val="0"/>
    <w:tblPr>
      <w:tblCellMar>
        <w:top w:w="100" w:type="dxa"/>
        <w:left w:w="100" w:type="dxa"/>
        <w:bottom w:w="100" w:type="dxa"/>
        <w:right w:w="100" w:type="dxa"/>
      </w:tblCellMar>
    </w:tblPr>
  </w:style>
  <w:style w:type="table" w:customStyle="1" w:styleId="346">
    <w:name w:val="3"/>
    <w:basedOn w:val="342"/>
    <w:autoRedefine/>
    <w:qFormat/>
    <w:uiPriority w:val="0"/>
    <w:tblPr>
      <w:tblCellMar>
        <w:top w:w="0" w:type="dxa"/>
        <w:left w:w="108" w:type="dxa"/>
        <w:bottom w:w="0" w:type="dxa"/>
        <w:right w:w="108" w:type="dxa"/>
      </w:tblCellMar>
    </w:tblPr>
  </w:style>
  <w:style w:type="paragraph" w:customStyle="1" w:styleId="347">
    <w:name w:val="Table Paragraph"/>
    <w:basedOn w:val="1"/>
    <w:qFormat/>
    <w:uiPriority w:val="1"/>
  </w:style>
  <w:style w:type="table" w:customStyle="1" w:styleId="348">
    <w:name w:val="_Style 64"/>
    <w:basedOn w:val="329"/>
    <w:qFormat/>
    <w:uiPriority w:val="0"/>
    <w:tblPr>
      <w:tblCellMar>
        <w:top w:w="100" w:type="dxa"/>
        <w:left w:w="100" w:type="dxa"/>
        <w:bottom w:w="100" w:type="dxa"/>
        <w:right w:w="100" w:type="dxa"/>
      </w:tblCellMar>
    </w:tblPr>
  </w:style>
  <w:style w:type="paragraph" w:customStyle="1" w:styleId="349">
    <w:name w:val="Heading 1"/>
    <w:basedOn w:val="1"/>
    <w:next w:val="1"/>
    <w:qFormat/>
    <w:uiPriority w:val="1"/>
    <w:pPr>
      <w:keepNext/>
      <w:keepLines/>
      <w:suppressAutoHyphens/>
      <w:overflowPunct w:val="0"/>
      <w:spacing w:before="480" w:line="276" w:lineRule="auto"/>
      <w:outlineLvl w:val="0"/>
    </w:pPr>
    <w:rPr>
      <w:rFonts w:ascii="Cambria" w:hAnsi="Cambria" w:eastAsia="Calibri" w:cs="DejaVu Sans"/>
      <w:b/>
      <w:bCs/>
      <w:color w:val="365F91"/>
      <w:sz w:val="28"/>
      <w:szCs w:val="28"/>
      <w:lang w:eastAsia="zh-CN"/>
    </w:rPr>
  </w:style>
  <w:style w:type="character" w:customStyle="1" w:styleId="350">
    <w:name w:val="fontstyle01"/>
    <w:basedOn w:val="3"/>
    <w:qFormat/>
    <w:uiPriority w:val="0"/>
    <w:rPr>
      <w:rFonts w:ascii="ArialMT;Times New Roman" w:hAnsi="ArialMT;Times New Roman" w:cs="ArialMT;Times New Roman"/>
      <w:color w:val="000000"/>
      <w:sz w:val="20"/>
      <w:szCs w:val="20"/>
    </w:rPr>
  </w:style>
  <w:style w:type="paragraph" w:customStyle="1" w:styleId="351">
    <w:name w:val="Nível 1-Sem Num Preto"/>
    <w:basedOn w:val="352"/>
    <w:qFormat/>
    <w:uiPriority w:val="0"/>
    <w:pPr>
      <w:tabs>
        <w:tab w:val="left" w:pos="567"/>
      </w:tabs>
    </w:pPr>
    <w:rPr>
      <w:color w:val="auto"/>
      <w:lang w:eastAsia="zh-CN" w:bidi="hi-IN"/>
    </w:rPr>
  </w:style>
  <w:style w:type="paragraph" w:customStyle="1" w:styleId="352">
    <w:name w:val="Nível 1-Sem Num"/>
    <w:basedOn w:val="278"/>
    <w:autoRedefine/>
    <w:qFormat/>
    <w:uiPriority w:val="0"/>
    <w:pPr>
      <w:numPr>
        <w:numId w:val="0"/>
      </w:numPr>
      <w:outlineLvl w:val="1"/>
    </w:pPr>
    <w:rPr>
      <w:color w:val="FF0000"/>
    </w:rPr>
  </w:style>
  <w:style w:type="paragraph" w:customStyle="1" w:styleId="353">
    <w:name w:val="Header"/>
    <w:basedOn w:val="1"/>
    <w:unhideWhenUsed/>
    <w:qFormat/>
    <w:uiPriority w:val="99"/>
    <w:pPr>
      <w:tabs>
        <w:tab w:val="center" w:pos="4252"/>
        <w:tab w:val="right" w:pos="8504"/>
      </w:tabs>
      <w:spacing w:after="0" w:line="240" w:lineRule="auto"/>
    </w:pPr>
  </w:style>
  <w:style w:type="paragraph" w:customStyle="1" w:styleId="354">
    <w:name w:val="Footer"/>
    <w:basedOn w:val="1"/>
    <w:unhideWhenUsed/>
    <w:qFormat/>
    <w:uiPriority w:val="99"/>
    <w:pPr>
      <w:tabs>
        <w:tab w:val="center" w:pos="4252"/>
        <w:tab w:val="right" w:pos="8504"/>
      </w:tabs>
      <w:spacing w:after="0" w:line="240" w:lineRule="auto"/>
    </w:pPr>
  </w:style>
  <w:style w:type="character" w:customStyle="1" w:styleId="355">
    <w:name w:val="uv3um"/>
    <w:basedOn w:val="3"/>
    <w:qFormat/>
    <w:uiPriority w:val="0"/>
  </w:style>
  <w:style w:type="character" w:customStyle="1" w:styleId="356">
    <w:name w:val="hgkelc"/>
    <w:basedOn w:val="3"/>
    <w:qFormat/>
    <w:uiPriority w:val="0"/>
  </w:style>
  <w:style w:type="table" w:customStyle="1" w:styleId="357">
    <w:name w:val="_Style 360"/>
    <w:basedOn w:val="329"/>
    <w:qFormat/>
    <w:uiPriority w:val="0"/>
    <w:tblPr>
      <w:tblCellMar>
        <w:top w:w="0" w:type="dxa"/>
        <w:left w:w="108" w:type="dxa"/>
        <w:bottom w:w="0" w:type="dxa"/>
        <w:right w:w="108" w:type="dxa"/>
      </w:tblCellMar>
    </w:tblPr>
  </w:style>
  <w:style w:type="table" w:customStyle="1" w:styleId="358">
    <w:name w:val="_Style 46"/>
    <w:basedOn w:val="359"/>
    <w:qFormat/>
    <w:uiPriority w:val="0"/>
    <w:tblPr>
      <w:tblCellMar>
        <w:top w:w="100" w:type="dxa"/>
        <w:left w:w="100" w:type="dxa"/>
        <w:bottom w:w="100" w:type="dxa"/>
        <w:right w:w="100" w:type="dxa"/>
      </w:tblCellMar>
    </w:tblPr>
  </w:style>
  <w:style w:type="table" w:customStyle="1" w:styleId="359">
    <w:name w:val="TableNormal"/>
    <w:qFormat/>
    <w:uiPriority w:val="0"/>
    <w:tblPr>
      <w:tblCellMar>
        <w:top w:w="100" w:type="dxa"/>
        <w:left w:w="100" w:type="dxa"/>
        <w:bottom w:w="100" w:type="dxa"/>
        <w:right w:w="100" w:type="dxa"/>
      </w:tblCellMar>
    </w:tblPr>
  </w:style>
  <w:style w:type="table" w:customStyle="1" w:styleId="360">
    <w:name w:val="_Style 42"/>
    <w:basedOn w:val="359"/>
    <w:qFormat/>
    <w:uiPriority w:val="0"/>
    <w:tblPr>
      <w:tblCellMar>
        <w:top w:w="0" w:type="dxa"/>
        <w:left w:w="115" w:type="dxa"/>
        <w:bottom w:w="0" w:type="dxa"/>
        <w:right w:w="115" w:type="dxa"/>
      </w:tblCellMar>
    </w:tblPr>
  </w:style>
  <w:style w:type="table" w:customStyle="1" w:styleId="361">
    <w:name w:val="_Style 51"/>
    <w:basedOn w:val="359"/>
    <w:qFormat/>
    <w:uiPriority w:val="0"/>
    <w:tblPr>
      <w:tblCellMar>
        <w:top w:w="0" w:type="dxa"/>
        <w:left w:w="108" w:type="dxa"/>
        <w:bottom w:w="0" w:type="dxa"/>
        <w:right w:w="108" w:type="dxa"/>
      </w:tblCellMar>
    </w:tblPr>
  </w:style>
  <w:style w:type="table" w:customStyle="1" w:styleId="362">
    <w:name w:val="_Style 55"/>
    <w:basedOn w:val="359"/>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18696</Words>
  <Characters>100959</Characters>
  <Lines>841</Lines>
  <Paragraphs>238</Paragraphs>
  <TotalTime>0</TotalTime>
  <ScaleCrop>false</ScaleCrop>
  <LinksUpToDate>false</LinksUpToDate>
  <CharactersWithSpaces>119417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2025-11-14T13:52:00Z</cp:lastPrinted>
  <dcterms:modified xsi:type="dcterms:W3CDTF">2026-02-12T13:28:52Z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FC22D198726247A6AECF7B78519B32B0_13</vt:lpwstr>
  </property>
</Properties>
</file>